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2C4" w:rsidRDefault="003972C4">
      <w:pPr>
        <w:ind w:right="-589" w:hanging="851"/>
        <w:rPr>
          <w:b/>
          <w:color w:val="4F6228"/>
          <w:sz w:val="24"/>
          <w:szCs w:val="24"/>
          <w:highlight w:val="lightGray"/>
        </w:rPr>
      </w:pPr>
      <w:bookmarkStart w:id="0" w:name="_gjdgxs" w:colFirst="0" w:colLast="0"/>
      <w:bookmarkEnd w:id="0"/>
    </w:p>
    <w:tbl>
      <w:tblPr>
        <w:tblStyle w:val="a"/>
        <w:tblW w:w="2239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6"/>
        <w:gridCol w:w="6096"/>
        <w:gridCol w:w="4536"/>
        <w:gridCol w:w="4819"/>
      </w:tblGrid>
      <w:tr w:rsidR="003972C4">
        <w:tc>
          <w:tcPr>
            <w:tcW w:w="6946" w:type="dxa"/>
            <w:tcBorders>
              <w:top w:val="nil"/>
              <w:left w:val="nil"/>
              <w:bottom w:val="nil"/>
              <w:right w:val="single" w:sz="4" w:space="0" w:color="000000"/>
            </w:tcBorders>
          </w:tcPr>
          <w:p w:rsidR="003972C4" w:rsidRDefault="003972C4">
            <w:pPr>
              <w:ind w:right="-589" w:firstLine="34"/>
              <w:rPr>
                <w:b/>
                <w:color w:val="4F6228"/>
                <w:sz w:val="24"/>
                <w:szCs w:val="24"/>
                <w:highlight w:val="lightGray"/>
              </w:rPr>
            </w:pPr>
          </w:p>
          <w:p w:rsidR="003972C4" w:rsidRDefault="003972C4">
            <w:pPr>
              <w:ind w:right="-589" w:firstLine="34"/>
              <w:rPr>
                <w:b/>
                <w:color w:val="4F6228"/>
                <w:sz w:val="24"/>
                <w:szCs w:val="24"/>
                <w:highlight w:val="lightGray"/>
              </w:rPr>
            </w:pPr>
          </w:p>
          <w:p w:rsidR="003972C4" w:rsidRDefault="002E0D05">
            <w:pPr>
              <w:ind w:right="-589" w:firstLine="34"/>
              <w:rPr>
                <w:b/>
                <w:color w:val="4F6228"/>
                <w:sz w:val="28"/>
                <w:szCs w:val="28"/>
              </w:rPr>
            </w:pPr>
            <w:r>
              <w:rPr>
                <w:b/>
                <w:color w:val="4F6228"/>
                <w:sz w:val="28"/>
                <w:szCs w:val="28"/>
              </w:rPr>
              <w:t>Travancore Scho</w:t>
            </w:r>
            <w:r w:rsidR="00B51E95">
              <w:rPr>
                <w:b/>
                <w:color w:val="4F6228"/>
                <w:sz w:val="28"/>
                <w:szCs w:val="28"/>
              </w:rPr>
              <w:t>ol 4465 Strategic Plan 2017-2020</w:t>
            </w:r>
          </w:p>
          <w:p w:rsidR="003972C4" w:rsidRDefault="003972C4">
            <w:pPr>
              <w:ind w:right="-589"/>
              <w:rPr>
                <w:b/>
                <w:color w:val="4F6228"/>
                <w:sz w:val="24"/>
                <w:szCs w:val="24"/>
                <w:highlight w:val="lightGray"/>
              </w:rPr>
            </w:pPr>
          </w:p>
        </w:tc>
        <w:tc>
          <w:tcPr>
            <w:tcW w:w="6096" w:type="dxa"/>
            <w:tcBorders>
              <w:left w:val="single" w:sz="4" w:space="0" w:color="000000"/>
              <w:right w:val="nil"/>
            </w:tcBorders>
          </w:tcPr>
          <w:p w:rsidR="003972C4" w:rsidRDefault="002E0D05">
            <w:pPr>
              <w:ind w:right="-52"/>
              <w:rPr>
                <w:b/>
                <w:sz w:val="18"/>
                <w:szCs w:val="18"/>
              </w:rPr>
            </w:pPr>
            <w:r>
              <w:rPr>
                <w:b/>
                <w:sz w:val="18"/>
                <w:szCs w:val="18"/>
              </w:rPr>
              <w:t>Endorsement</w:t>
            </w:r>
          </w:p>
          <w:p w:rsidR="003972C4" w:rsidRDefault="002E0D05">
            <w:pPr>
              <w:tabs>
                <w:tab w:val="left" w:pos="993"/>
                <w:tab w:val="left" w:pos="3686"/>
                <w:tab w:val="left" w:pos="3828"/>
                <w:tab w:val="left" w:pos="5245"/>
                <w:tab w:val="left" w:pos="5954"/>
                <w:tab w:val="left" w:pos="9356"/>
                <w:tab w:val="left" w:pos="9639"/>
                <w:tab w:val="left" w:pos="11199"/>
              </w:tabs>
              <w:spacing w:line="360" w:lineRule="auto"/>
              <w:ind w:right="-51"/>
              <w:rPr>
                <w:sz w:val="18"/>
                <w:szCs w:val="18"/>
              </w:rPr>
            </w:pPr>
            <w:r>
              <w:rPr>
                <w:sz w:val="18"/>
                <w:szCs w:val="18"/>
              </w:rPr>
              <w:t>Principal:</w:t>
            </w:r>
            <w:r>
              <w:rPr>
                <w:sz w:val="18"/>
                <w:szCs w:val="18"/>
              </w:rPr>
              <w:tab/>
              <w:t>Judy Ring</w:t>
            </w:r>
            <w:r>
              <w:rPr>
                <w:sz w:val="18"/>
                <w:szCs w:val="18"/>
              </w:rPr>
              <w:tab/>
              <w:t>31.03.2017</w:t>
            </w:r>
          </w:p>
          <w:p w:rsidR="003972C4" w:rsidRDefault="002E0D05">
            <w:pPr>
              <w:tabs>
                <w:tab w:val="left" w:pos="993"/>
                <w:tab w:val="left" w:pos="3686"/>
                <w:tab w:val="left" w:pos="3828"/>
                <w:tab w:val="left" w:pos="5245"/>
                <w:tab w:val="left" w:pos="5954"/>
                <w:tab w:val="left" w:pos="9356"/>
                <w:tab w:val="left" w:pos="9639"/>
                <w:tab w:val="left" w:pos="11199"/>
              </w:tabs>
              <w:spacing w:line="360" w:lineRule="auto"/>
              <w:ind w:right="-51"/>
              <w:rPr>
                <w:sz w:val="18"/>
                <w:szCs w:val="18"/>
              </w:rPr>
            </w:pPr>
            <w:r>
              <w:rPr>
                <w:sz w:val="18"/>
                <w:szCs w:val="18"/>
              </w:rPr>
              <w:t>School council: Lorraine Graham</w:t>
            </w:r>
            <w:r>
              <w:rPr>
                <w:sz w:val="18"/>
                <w:szCs w:val="18"/>
              </w:rPr>
              <w:tab/>
              <w:t>31.03.2017</w:t>
            </w:r>
          </w:p>
          <w:p w:rsidR="003972C4" w:rsidRDefault="002E0D05">
            <w:pPr>
              <w:tabs>
                <w:tab w:val="left" w:pos="5954"/>
                <w:tab w:val="left" w:pos="7371"/>
                <w:tab w:val="left" w:pos="9639"/>
                <w:tab w:val="left" w:pos="11199"/>
              </w:tabs>
              <w:ind w:right="-51"/>
              <w:rPr>
                <w:sz w:val="18"/>
                <w:szCs w:val="18"/>
              </w:rPr>
            </w:pPr>
            <w:r>
              <w:rPr>
                <w:sz w:val="18"/>
                <w:szCs w:val="18"/>
              </w:rPr>
              <w:t xml:space="preserve">Delegate of the </w:t>
            </w:r>
          </w:p>
          <w:p w:rsidR="003972C4" w:rsidRDefault="002E0D05">
            <w:pPr>
              <w:tabs>
                <w:tab w:val="left" w:pos="993"/>
                <w:tab w:val="left" w:pos="3686"/>
                <w:tab w:val="left" w:pos="3828"/>
                <w:tab w:val="left" w:pos="5245"/>
                <w:tab w:val="left" w:pos="5954"/>
              </w:tabs>
              <w:spacing w:line="360" w:lineRule="auto"/>
              <w:ind w:right="-51"/>
              <w:rPr>
                <w:b/>
                <w:color w:val="4F6228"/>
                <w:sz w:val="24"/>
                <w:szCs w:val="24"/>
                <w:highlight w:val="lightGray"/>
              </w:rPr>
            </w:pPr>
            <w:r>
              <w:rPr>
                <w:sz w:val="18"/>
                <w:szCs w:val="18"/>
              </w:rPr>
              <w:t>Secretary:</w:t>
            </w:r>
            <w:r>
              <w:rPr>
                <w:sz w:val="18"/>
                <w:szCs w:val="18"/>
              </w:rPr>
              <w:tab/>
            </w:r>
            <w:r>
              <w:rPr>
                <w:sz w:val="18"/>
                <w:szCs w:val="18"/>
              </w:rPr>
              <w:tab/>
            </w:r>
            <w:r>
              <w:rPr>
                <w:sz w:val="18"/>
                <w:szCs w:val="18"/>
              </w:rPr>
              <w:tab/>
            </w:r>
            <w:r>
              <w:rPr>
                <w:sz w:val="18"/>
                <w:szCs w:val="18"/>
                <w:highlight w:val="lightGray"/>
              </w:rPr>
              <w:t>[name]</w:t>
            </w:r>
            <w:r>
              <w:rPr>
                <w:sz w:val="18"/>
                <w:szCs w:val="18"/>
              </w:rPr>
              <w:tab/>
            </w:r>
            <w:r>
              <w:rPr>
                <w:sz w:val="18"/>
                <w:szCs w:val="18"/>
                <w:highlight w:val="lightGray"/>
              </w:rPr>
              <w:t>[date]</w:t>
            </w:r>
            <w:r>
              <w:rPr>
                <w:sz w:val="18"/>
                <w:szCs w:val="18"/>
              </w:rPr>
              <w:t xml:space="preserve">   </w:t>
            </w:r>
          </w:p>
        </w:tc>
        <w:tc>
          <w:tcPr>
            <w:tcW w:w="4536" w:type="dxa"/>
            <w:tcBorders>
              <w:left w:val="nil"/>
              <w:right w:val="nil"/>
            </w:tcBorders>
          </w:tcPr>
          <w:p w:rsidR="003972C4" w:rsidRDefault="002E0D05">
            <w:pPr>
              <w:ind w:right="-52"/>
              <w:rPr>
                <w:sz w:val="18"/>
                <w:szCs w:val="18"/>
              </w:rPr>
            </w:pPr>
            <w:r>
              <w:rPr>
                <w:b/>
                <w:sz w:val="18"/>
                <w:szCs w:val="18"/>
              </w:rPr>
              <w:t xml:space="preserve">Re-Endorsement </w:t>
            </w:r>
            <w:r>
              <w:rPr>
                <w:sz w:val="18"/>
                <w:szCs w:val="18"/>
              </w:rPr>
              <w:t>(if a Goal, KIS or Target is changed)</w:t>
            </w:r>
          </w:p>
          <w:p w:rsidR="003972C4" w:rsidRDefault="002E0D05">
            <w:pPr>
              <w:tabs>
                <w:tab w:val="left" w:pos="993"/>
                <w:tab w:val="left" w:pos="3686"/>
                <w:tab w:val="left" w:pos="3828"/>
                <w:tab w:val="left" w:pos="4995"/>
                <w:tab w:val="left" w:pos="5954"/>
                <w:tab w:val="left" w:pos="9356"/>
                <w:tab w:val="left" w:pos="9639"/>
                <w:tab w:val="left" w:pos="11199"/>
              </w:tabs>
              <w:spacing w:line="360" w:lineRule="auto"/>
              <w:ind w:right="-51"/>
              <w:rPr>
                <w:sz w:val="18"/>
                <w:szCs w:val="18"/>
              </w:rPr>
            </w:pPr>
            <w:r>
              <w:rPr>
                <w:sz w:val="18"/>
                <w:szCs w:val="18"/>
              </w:rPr>
              <w:t xml:space="preserve"> J</w:t>
            </w:r>
            <w:r w:rsidR="00406211">
              <w:rPr>
                <w:sz w:val="18"/>
                <w:szCs w:val="18"/>
              </w:rPr>
              <w:t>udy Ring                                            11.12.2018</w:t>
            </w:r>
          </w:p>
          <w:p w:rsidR="003972C4" w:rsidRDefault="002E0D05">
            <w:pPr>
              <w:tabs>
                <w:tab w:val="left" w:pos="993"/>
                <w:tab w:val="left" w:pos="3686"/>
                <w:tab w:val="left" w:pos="3828"/>
                <w:tab w:val="left" w:pos="4995"/>
                <w:tab w:val="left" w:pos="5954"/>
                <w:tab w:val="left" w:pos="9356"/>
                <w:tab w:val="left" w:pos="9639"/>
                <w:tab w:val="left" w:pos="11199"/>
              </w:tabs>
              <w:spacing w:line="360" w:lineRule="auto"/>
              <w:ind w:right="-51"/>
              <w:rPr>
                <w:sz w:val="18"/>
                <w:szCs w:val="18"/>
              </w:rPr>
            </w:pPr>
            <w:r>
              <w:rPr>
                <w:sz w:val="18"/>
                <w:szCs w:val="18"/>
              </w:rPr>
              <w:t>Pam St Leger</w:t>
            </w:r>
            <w:r>
              <w:rPr>
                <w:b/>
                <w:sz w:val="18"/>
                <w:szCs w:val="18"/>
              </w:rPr>
              <w:t xml:space="preserve">    </w:t>
            </w:r>
            <w:r w:rsidR="00406211">
              <w:rPr>
                <w:b/>
                <w:sz w:val="18"/>
                <w:szCs w:val="18"/>
              </w:rPr>
              <w:t xml:space="preserve">                                   </w:t>
            </w:r>
            <w:r w:rsidR="00406211">
              <w:rPr>
                <w:sz w:val="18"/>
                <w:szCs w:val="18"/>
              </w:rPr>
              <w:t>11.12.2018</w:t>
            </w:r>
          </w:p>
          <w:p w:rsidR="003972C4" w:rsidRDefault="003972C4">
            <w:pPr>
              <w:tabs>
                <w:tab w:val="left" w:pos="5954"/>
                <w:tab w:val="left" w:pos="7371"/>
                <w:tab w:val="left" w:pos="9639"/>
                <w:tab w:val="left" w:pos="11199"/>
              </w:tabs>
              <w:ind w:right="-51"/>
              <w:rPr>
                <w:sz w:val="18"/>
                <w:szCs w:val="18"/>
              </w:rPr>
            </w:pPr>
          </w:p>
          <w:p w:rsidR="003972C4" w:rsidRDefault="002E0D05">
            <w:pPr>
              <w:tabs>
                <w:tab w:val="left" w:pos="993"/>
                <w:tab w:val="left" w:pos="3686"/>
                <w:tab w:val="left" w:pos="3828"/>
                <w:tab w:val="left" w:pos="5954"/>
                <w:tab w:val="left" w:pos="9356"/>
                <w:tab w:val="left" w:pos="9639"/>
                <w:tab w:val="left" w:pos="11199"/>
              </w:tabs>
              <w:spacing w:line="360" w:lineRule="auto"/>
              <w:ind w:right="-51"/>
              <w:rPr>
                <w:sz w:val="18"/>
                <w:szCs w:val="18"/>
              </w:rPr>
            </w:pPr>
            <w:r>
              <w:rPr>
                <w:b/>
                <w:sz w:val="18"/>
                <w:szCs w:val="18"/>
              </w:rPr>
              <w:t>………………………………………</w:t>
            </w:r>
            <w:r>
              <w:rPr>
                <w:sz w:val="18"/>
                <w:szCs w:val="18"/>
                <w:highlight w:val="lightGray"/>
              </w:rPr>
              <w:t>[name]</w:t>
            </w:r>
            <w:r>
              <w:rPr>
                <w:sz w:val="18"/>
                <w:szCs w:val="18"/>
              </w:rPr>
              <w:tab/>
            </w:r>
            <w:r>
              <w:rPr>
                <w:sz w:val="18"/>
                <w:szCs w:val="18"/>
                <w:highlight w:val="lightGray"/>
              </w:rPr>
              <w:t>[date]</w:t>
            </w:r>
          </w:p>
        </w:tc>
        <w:tc>
          <w:tcPr>
            <w:tcW w:w="4819" w:type="dxa"/>
            <w:tcBorders>
              <w:left w:val="nil"/>
            </w:tcBorders>
          </w:tcPr>
          <w:p w:rsidR="003972C4" w:rsidRDefault="002E0D05">
            <w:pPr>
              <w:ind w:right="-52"/>
              <w:rPr>
                <w:b/>
                <w:sz w:val="18"/>
                <w:szCs w:val="18"/>
              </w:rPr>
            </w:pPr>
            <w:r>
              <w:rPr>
                <w:b/>
                <w:sz w:val="18"/>
                <w:szCs w:val="18"/>
              </w:rPr>
              <w:t xml:space="preserve">Re-endorsement </w:t>
            </w:r>
            <w:r>
              <w:rPr>
                <w:sz w:val="18"/>
                <w:szCs w:val="18"/>
              </w:rPr>
              <w:t>(if a Goal, KIS or Target is changed)</w:t>
            </w:r>
          </w:p>
          <w:p w:rsidR="003972C4" w:rsidRDefault="002E0D05">
            <w:pPr>
              <w:tabs>
                <w:tab w:val="left" w:pos="993"/>
                <w:tab w:val="left" w:pos="3686"/>
                <w:tab w:val="left" w:pos="3828"/>
                <w:tab w:val="left" w:pos="4995"/>
                <w:tab w:val="left" w:pos="5954"/>
                <w:tab w:val="left" w:pos="9356"/>
                <w:tab w:val="left" w:pos="9639"/>
                <w:tab w:val="left" w:pos="11199"/>
              </w:tabs>
              <w:spacing w:line="360" w:lineRule="auto"/>
              <w:ind w:right="-51"/>
              <w:rPr>
                <w:sz w:val="18"/>
                <w:szCs w:val="18"/>
              </w:rPr>
            </w:pPr>
            <w:r>
              <w:rPr>
                <w:b/>
                <w:sz w:val="18"/>
                <w:szCs w:val="18"/>
              </w:rPr>
              <w:t>………………………………………</w:t>
            </w:r>
            <w:r>
              <w:rPr>
                <w:sz w:val="18"/>
                <w:szCs w:val="18"/>
                <w:highlight w:val="lightGray"/>
              </w:rPr>
              <w:t>[name]</w:t>
            </w:r>
            <w:r>
              <w:rPr>
                <w:sz w:val="18"/>
                <w:szCs w:val="18"/>
              </w:rPr>
              <w:tab/>
            </w:r>
            <w:r>
              <w:rPr>
                <w:sz w:val="18"/>
                <w:szCs w:val="18"/>
                <w:highlight w:val="lightGray"/>
              </w:rPr>
              <w:t>[date]</w:t>
            </w:r>
          </w:p>
          <w:p w:rsidR="003972C4" w:rsidRDefault="002E0D05">
            <w:pPr>
              <w:tabs>
                <w:tab w:val="left" w:pos="993"/>
                <w:tab w:val="left" w:pos="3686"/>
                <w:tab w:val="left" w:pos="3828"/>
                <w:tab w:val="left" w:pos="4995"/>
                <w:tab w:val="left" w:pos="5954"/>
                <w:tab w:val="left" w:pos="9356"/>
                <w:tab w:val="left" w:pos="9639"/>
                <w:tab w:val="left" w:pos="11199"/>
              </w:tabs>
              <w:spacing w:line="360" w:lineRule="auto"/>
              <w:ind w:right="-51"/>
              <w:rPr>
                <w:sz w:val="18"/>
                <w:szCs w:val="18"/>
              </w:rPr>
            </w:pPr>
            <w:r>
              <w:rPr>
                <w:b/>
                <w:sz w:val="18"/>
                <w:szCs w:val="18"/>
              </w:rPr>
              <w:t>………………………………………</w:t>
            </w:r>
            <w:r>
              <w:rPr>
                <w:sz w:val="18"/>
                <w:szCs w:val="18"/>
                <w:highlight w:val="lightGray"/>
              </w:rPr>
              <w:t>[name]</w:t>
            </w:r>
            <w:r>
              <w:rPr>
                <w:sz w:val="18"/>
                <w:szCs w:val="18"/>
              </w:rPr>
              <w:tab/>
            </w:r>
            <w:r>
              <w:rPr>
                <w:sz w:val="18"/>
                <w:szCs w:val="18"/>
                <w:highlight w:val="lightGray"/>
              </w:rPr>
              <w:t>[date]</w:t>
            </w:r>
          </w:p>
          <w:p w:rsidR="003972C4" w:rsidRDefault="003972C4">
            <w:pPr>
              <w:tabs>
                <w:tab w:val="left" w:pos="5954"/>
                <w:tab w:val="left" w:pos="7371"/>
                <w:tab w:val="left" w:pos="9639"/>
                <w:tab w:val="left" w:pos="11199"/>
              </w:tabs>
              <w:ind w:right="-51"/>
              <w:rPr>
                <w:sz w:val="18"/>
                <w:szCs w:val="18"/>
              </w:rPr>
            </w:pPr>
          </w:p>
          <w:p w:rsidR="003972C4" w:rsidRDefault="002E0D05">
            <w:pPr>
              <w:tabs>
                <w:tab w:val="left" w:pos="993"/>
                <w:tab w:val="left" w:pos="3686"/>
                <w:tab w:val="left" w:pos="3828"/>
                <w:tab w:val="left" w:pos="5245"/>
                <w:tab w:val="left" w:pos="5954"/>
                <w:tab w:val="left" w:pos="9356"/>
                <w:tab w:val="left" w:pos="9639"/>
                <w:tab w:val="left" w:pos="11199"/>
              </w:tabs>
              <w:ind w:right="-51"/>
              <w:rPr>
                <w:b/>
                <w:color w:val="4F6228"/>
                <w:sz w:val="24"/>
                <w:szCs w:val="24"/>
                <w:highlight w:val="lightGray"/>
              </w:rPr>
            </w:pPr>
            <w:r>
              <w:rPr>
                <w:b/>
                <w:sz w:val="18"/>
                <w:szCs w:val="18"/>
              </w:rPr>
              <w:t>………………………………………</w:t>
            </w:r>
            <w:r>
              <w:rPr>
                <w:sz w:val="18"/>
                <w:szCs w:val="18"/>
                <w:highlight w:val="lightGray"/>
              </w:rPr>
              <w:t>[name]</w:t>
            </w:r>
            <w:r>
              <w:rPr>
                <w:sz w:val="18"/>
                <w:szCs w:val="18"/>
              </w:rPr>
              <w:tab/>
            </w:r>
            <w:r>
              <w:rPr>
                <w:sz w:val="18"/>
                <w:szCs w:val="18"/>
                <w:highlight w:val="lightGray"/>
              </w:rPr>
              <w:t>[date]</w:t>
            </w:r>
          </w:p>
        </w:tc>
      </w:tr>
    </w:tbl>
    <w:p w:rsidR="003972C4" w:rsidRDefault="003972C4">
      <w:pPr>
        <w:spacing w:after="120"/>
      </w:pPr>
    </w:p>
    <w:tbl>
      <w:tblPr>
        <w:tblStyle w:val="a0"/>
        <w:tblW w:w="2253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4678"/>
        <w:gridCol w:w="4961"/>
        <w:gridCol w:w="9214"/>
      </w:tblGrid>
      <w:tr w:rsidR="003972C4">
        <w:tc>
          <w:tcPr>
            <w:tcW w:w="3686" w:type="dxa"/>
            <w:shd w:val="clear" w:color="auto" w:fill="C2D69B"/>
          </w:tcPr>
          <w:p w:rsidR="003972C4" w:rsidRDefault="002E0D05">
            <w:pPr>
              <w:spacing w:before="120"/>
              <w:rPr>
                <w:b/>
                <w:sz w:val="18"/>
                <w:szCs w:val="18"/>
              </w:rPr>
            </w:pPr>
            <w:r>
              <w:rPr>
                <w:b/>
                <w:sz w:val="18"/>
                <w:szCs w:val="18"/>
              </w:rPr>
              <w:t>School vision</w:t>
            </w:r>
          </w:p>
        </w:tc>
        <w:tc>
          <w:tcPr>
            <w:tcW w:w="4678" w:type="dxa"/>
            <w:shd w:val="clear" w:color="auto" w:fill="C2D69B"/>
          </w:tcPr>
          <w:p w:rsidR="003972C4" w:rsidRDefault="002E0D05">
            <w:pPr>
              <w:spacing w:before="120"/>
              <w:rPr>
                <w:b/>
                <w:sz w:val="18"/>
                <w:szCs w:val="18"/>
              </w:rPr>
            </w:pPr>
            <w:r>
              <w:rPr>
                <w:b/>
                <w:sz w:val="18"/>
                <w:szCs w:val="18"/>
              </w:rPr>
              <w:t>School values</w:t>
            </w:r>
          </w:p>
        </w:tc>
        <w:tc>
          <w:tcPr>
            <w:tcW w:w="4961" w:type="dxa"/>
            <w:shd w:val="clear" w:color="auto" w:fill="C2D69B"/>
          </w:tcPr>
          <w:p w:rsidR="003972C4" w:rsidRDefault="002E0D05">
            <w:pPr>
              <w:spacing w:before="120"/>
              <w:rPr>
                <w:b/>
                <w:sz w:val="18"/>
                <w:szCs w:val="18"/>
              </w:rPr>
            </w:pPr>
            <w:r>
              <w:rPr>
                <w:b/>
                <w:sz w:val="18"/>
                <w:szCs w:val="18"/>
              </w:rPr>
              <w:t>Context and challenges</w:t>
            </w:r>
          </w:p>
          <w:p w:rsidR="003972C4" w:rsidRDefault="003972C4">
            <w:pPr>
              <w:spacing w:before="120"/>
              <w:rPr>
                <w:b/>
                <w:sz w:val="18"/>
                <w:szCs w:val="18"/>
              </w:rPr>
            </w:pPr>
          </w:p>
        </w:tc>
        <w:tc>
          <w:tcPr>
            <w:tcW w:w="9214" w:type="dxa"/>
            <w:shd w:val="clear" w:color="auto" w:fill="C2D69B"/>
          </w:tcPr>
          <w:p w:rsidR="003972C4" w:rsidRDefault="002E0D05">
            <w:pPr>
              <w:spacing w:before="120"/>
              <w:ind w:right="-108"/>
              <w:rPr>
                <w:b/>
                <w:sz w:val="18"/>
                <w:szCs w:val="18"/>
              </w:rPr>
            </w:pPr>
            <w:r>
              <w:rPr>
                <w:b/>
                <w:sz w:val="18"/>
                <w:szCs w:val="18"/>
              </w:rPr>
              <w:t>Intent, rationale and focus</w:t>
            </w:r>
          </w:p>
          <w:p w:rsidR="003972C4" w:rsidRDefault="003972C4">
            <w:pPr>
              <w:spacing w:before="120"/>
              <w:rPr>
                <w:b/>
                <w:sz w:val="18"/>
                <w:szCs w:val="18"/>
              </w:rPr>
            </w:pPr>
          </w:p>
        </w:tc>
      </w:tr>
      <w:tr w:rsidR="003972C4">
        <w:trPr>
          <w:trHeight w:val="220"/>
        </w:trPr>
        <w:tc>
          <w:tcPr>
            <w:tcW w:w="3686" w:type="dxa"/>
            <w:vMerge w:val="restart"/>
          </w:tcPr>
          <w:p w:rsidR="003972C4" w:rsidRDefault="002E0D05">
            <w:pPr>
              <w:spacing w:after="120"/>
            </w:pPr>
            <w:r>
              <w:t>To provide a safe and supportive environment which:</w:t>
            </w:r>
          </w:p>
          <w:p w:rsidR="003972C4" w:rsidRDefault="002E0D05">
            <w:pPr>
              <w:numPr>
                <w:ilvl w:val="0"/>
                <w:numId w:val="1"/>
              </w:numPr>
              <w:spacing w:after="120"/>
            </w:pPr>
            <w:r>
              <w:t>supports young people with mental health difficulties in education;</w:t>
            </w:r>
          </w:p>
          <w:p w:rsidR="003972C4" w:rsidRDefault="002E0D05">
            <w:pPr>
              <w:numPr>
                <w:ilvl w:val="0"/>
                <w:numId w:val="1"/>
              </w:numPr>
              <w:spacing w:after="120"/>
            </w:pPr>
            <w:r>
              <w:t xml:space="preserve"> provides pathways and options to build successful educational transitions; </w:t>
            </w:r>
          </w:p>
          <w:p w:rsidR="003972C4" w:rsidRDefault="002E0D05">
            <w:pPr>
              <w:numPr>
                <w:ilvl w:val="0"/>
                <w:numId w:val="1"/>
              </w:numPr>
              <w:pBdr>
                <w:top w:val="nil"/>
                <w:left w:val="nil"/>
                <w:bottom w:val="nil"/>
                <w:right w:val="nil"/>
                <w:between w:val="nil"/>
              </w:pBdr>
              <w:contextualSpacing/>
              <w:rPr>
                <w:color w:val="000000"/>
                <w:sz w:val="18"/>
                <w:szCs w:val="18"/>
              </w:rPr>
            </w:pPr>
            <w:r>
              <w:rPr>
                <w:color w:val="000000"/>
              </w:rPr>
              <w:t>develops mental health awareness across educational communities</w:t>
            </w:r>
          </w:p>
          <w:p w:rsidR="003972C4" w:rsidRDefault="003972C4">
            <w:pPr>
              <w:rPr>
                <w:sz w:val="18"/>
                <w:szCs w:val="18"/>
              </w:rPr>
            </w:pPr>
          </w:p>
          <w:p w:rsidR="003972C4" w:rsidRDefault="003972C4">
            <w:pPr>
              <w:rPr>
                <w:sz w:val="18"/>
                <w:szCs w:val="18"/>
              </w:rPr>
            </w:pPr>
          </w:p>
          <w:p w:rsidR="003972C4" w:rsidRDefault="003972C4">
            <w:pPr>
              <w:rPr>
                <w:b/>
                <w:sz w:val="18"/>
                <w:szCs w:val="18"/>
              </w:rPr>
            </w:pPr>
          </w:p>
          <w:p w:rsidR="003972C4" w:rsidRDefault="003972C4">
            <w:pPr>
              <w:rPr>
                <w:sz w:val="18"/>
                <w:szCs w:val="18"/>
                <w:highlight w:val="lightGray"/>
              </w:rPr>
            </w:pPr>
          </w:p>
        </w:tc>
        <w:tc>
          <w:tcPr>
            <w:tcW w:w="4678" w:type="dxa"/>
            <w:vMerge w:val="restart"/>
          </w:tcPr>
          <w:p w:rsidR="003972C4" w:rsidRDefault="002E0D05">
            <w:pPr>
              <w:numPr>
                <w:ilvl w:val="0"/>
                <w:numId w:val="2"/>
              </w:numPr>
            </w:pPr>
            <w:r>
              <w:t>Collaboration</w:t>
            </w:r>
          </w:p>
          <w:p w:rsidR="003972C4" w:rsidRDefault="002E0D05">
            <w:pPr>
              <w:ind w:left="720"/>
              <w:rPr>
                <w:sz w:val="20"/>
                <w:szCs w:val="20"/>
              </w:rPr>
            </w:pPr>
            <w:r>
              <w:rPr>
                <w:sz w:val="20"/>
                <w:szCs w:val="20"/>
              </w:rPr>
              <w:t>To work with a positive intent and purpose toward the mental health goals of students in our care across community organisations</w:t>
            </w:r>
          </w:p>
          <w:p w:rsidR="003972C4" w:rsidRDefault="002E0D05">
            <w:pPr>
              <w:numPr>
                <w:ilvl w:val="0"/>
                <w:numId w:val="2"/>
              </w:numPr>
            </w:pPr>
            <w:r>
              <w:t>Optimism,</w:t>
            </w:r>
            <w:r>
              <w:rPr>
                <w:rFonts w:ascii="Open Sans" w:eastAsia="Open Sans" w:hAnsi="Open Sans" w:cs="Open Sans"/>
                <w:color w:val="FFFFFF"/>
                <w:sz w:val="28"/>
                <w:szCs w:val="28"/>
              </w:rPr>
              <w:t xml:space="preserve"> </w:t>
            </w:r>
          </w:p>
          <w:p w:rsidR="003972C4" w:rsidRDefault="002E0D05">
            <w:pPr>
              <w:ind w:left="720"/>
              <w:rPr>
                <w:sz w:val="20"/>
                <w:szCs w:val="20"/>
              </w:rPr>
            </w:pPr>
            <w:r>
              <w:rPr>
                <w:sz w:val="20"/>
                <w:szCs w:val="20"/>
              </w:rPr>
              <w:t>To engage and apply patterns of thoughts and behaviours which focus upon hope and future positive possibilities</w:t>
            </w:r>
          </w:p>
          <w:p w:rsidR="003972C4" w:rsidRDefault="002E0D05">
            <w:pPr>
              <w:numPr>
                <w:ilvl w:val="0"/>
                <w:numId w:val="2"/>
              </w:numPr>
            </w:pPr>
            <w:r>
              <w:t xml:space="preserve">Respectful Practice, </w:t>
            </w:r>
          </w:p>
          <w:p w:rsidR="003972C4" w:rsidRDefault="002E0D05">
            <w:pPr>
              <w:ind w:left="720"/>
              <w:rPr>
                <w:sz w:val="20"/>
                <w:szCs w:val="20"/>
              </w:rPr>
            </w:pPr>
            <w:r>
              <w:rPr>
                <w:sz w:val="20"/>
                <w:szCs w:val="20"/>
              </w:rPr>
              <w:t>To operate with the highest levels of professionalism and accountability, bringing sensitivity and respect to all our working relationships</w:t>
            </w:r>
          </w:p>
          <w:p w:rsidR="003972C4" w:rsidRDefault="002E0D05">
            <w:pPr>
              <w:numPr>
                <w:ilvl w:val="0"/>
                <w:numId w:val="2"/>
              </w:numPr>
            </w:pPr>
            <w:r>
              <w:t xml:space="preserve">Trust </w:t>
            </w:r>
          </w:p>
          <w:p w:rsidR="003972C4" w:rsidRDefault="002E0D05">
            <w:pPr>
              <w:ind w:left="720"/>
              <w:rPr>
                <w:sz w:val="20"/>
                <w:szCs w:val="20"/>
              </w:rPr>
            </w:pPr>
            <w:r>
              <w:rPr>
                <w:sz w:val="20"/>
                <w:szCs w:val="20"/>
              </w:rPr>
              <w:t>To develop and demonstrate confidential models of practice that enhances integrity in our professional work.</w:t>
            </w:r>
          </w:p>
          <w:p w:rsidR="003972C4" w:rsidRDefault="002E0D05">
            <w:pPr>
              <w:numPr>
                <w:ilvl w:val="0"/>
                <w:numId w:val="2"/>
              </w:numPr>
            </w:pPr>
            <w:r>
              <w:t xml:space="preserve">Innovation </w:t>
            </w:r>
          </w:p>
          <w:p w:rsidR="003972C4" w:rsidRDefault="002E0D05">
            <w:pPr>
              <w:ind w:left="720"/>
              <w:rPr>
                <w:sz w:val="20"/>
                <w:szCs w:val="20"/>
              </w:rPr>
            </w:pPr>
            <w:r>
              <w:rPr>
                <w:sz w:val="20"/>
                <w:szCs w:val="20"/>
              </w:rPr>
              <w:t>To utilise a creative pedagogy to improve prevention and intervention strategies using current research</w:t>
            </w:r>
          </w:p>
          <w:p w:rsidR="003972C4" w:rsidRDefault="003972C4">
            <w:pPr>
              <w:rPr>
                <w:sz w:val="18"/>
                <w:szCs w:val="18"/>
              </w:rPr>
            </w:pPr>
          </w:p>
          <w:p w:rsidR="003972C4" w:rsidRDefault="003972C4">
            <w:pPr>
              <w:rPr>
                <w:sz w:val="18"/>
                <w:szCs w:val="18"/>
              </w:rPr>
            </w:pPr>
          </w:p>
          <w:p w:rsidR="003972C4" w:rsidRDefault="003972C4">
            <w:pPr>
              <w:rPr>
                <w:i/>
                <w:sz w:val="16"/>
                <w:szCs w:val="16"/>
              </w:rPr>
            </w:pPr>
          </w:p>
        </w:tc>
        <w:tc>
          <w:tcPr>
            <w:tcW w:w="4961" w:type="dxa"/>
            <w:vMerge w:val="restart"/>
          </w:tcPr>
          <w:p w:rsidR="003972C4" w:rsidRDefault="003972C4">
            <w:pPr>
              <w:rPr>
                <w:sz w:val="18"/>
                <w:szCs w:val="18"/>
              </w:rPr>
            </w:pPr>
          </w:p>
          <w:p w:rsidR="003972C4" w:rsidRDefault="002E0D05">
            <w:pPr>
              <w:rPr>
                <w:sz w:val="20"/>
                <w:szCs w:val="20"/>
                <w:u w:val="single"/>
              </w:rPr>
            </w:pPr>
            <w:r>
              <w:rPr>
                <w:sz w:val="20"/>
                <w:szCs w:val="20"/>
                <w:u w:val="single"/>
              </w:rPr>
              <w:t>Context</w:t>
            </w:r>
          </w:p>
          <w:p w:rsidR="003972C4" w:rsidRDefault="003972C4">
            <w:pPr>
              <w:rPr>
                <w:sz w:val="20"/>
                <w:szCs w:val="20"/>
                <w:u w:val="single"/>
              </w:rPr>
            </w:pPr>
          </w:p>
          <w:p w:rsidR="003972C4" w:rsidRDefault="002E0D05">
            <w:pPr>
              <w:spacing w:before="60" w:after="60"/>
              <w:rPr>
                <w:sz w:val="20"/>
                <w:szCs w:val="20"/>
              </w:rPr>
            </w:pPr>
            <w:r>
              <w:rPr>
                <w:sz w:val="20"/>
                <w:szCs w:val="20"/>
              </w:rPr>
              <w:t xml:space="preserve">Travancore school provides education to young people with mental health difficulties. Travancore works in partnership the Department of Human Services (DHS) through the Royal Children’s Hospital (RCH) and Orygen Youth Health (OYH). </w:t>
            </w:r>
          </w:p>
          <w:p w:rsidR="003972C4" w:rsidRDefault="002E0D05">
            <w:pPr>
              <w:spacing w:before="60" w:after="60"/>
              <w:rPr>
                <w:sz w:val="20"/>
                <w:szCs w:val="20"/>
              </w:rPr>
            </w:pPr>
            <w:r>
              <w:rPr>
                <w:sz w:val="20"/>
                <w:szCs w:val="20"/>
              </w:rPr>
              <w:t>To improve the mental health of young people five to 18 years old the staff of Travancore work in three ways, providing direct education programs at a number of locations, the provision of outreach services to foster the engagement of students in education and vocational programs and presenting professional learning programs to the broader educational community in the area of mental health and education of young people.</w:t>
            </w:r>
          </w:p>
          <w:p w:rsidR="003972C4" w:rsidRDefault="003972C4">
            <w:pPr>
              <w:rPr>
                <w:sz w:val="20"/>
                <w:szCs w:val="20"/>
                <w:u w:val="single"/>
              </w:rPr>
            </w:pPr>
          </w:p>
          <w:p w:rsidR="003972C4" w:rsidRDefault="003972C4">
            <w:pPr>
              <w:rPr>
                <w:sz w:val="20"/>
                <w:szCs w:val="20"/>
                <w:u w:val="single"/>
              </w:rPr>
            </w:pPr>
          </w:p>
          <w:p w:rsidR="003972C4" w:rsidRDefault="003972C4">
            <w:pPr>
              <w:rPr>
                <w:sz w:val="20"/>
                <w:szCs w:val="20"/>
                <w:u w:val="single"/>
              </w:rPr>
            </w:pPr>
          </w:p>
          <w:p w:rsidR="003972C4" w:rsidRDefault="003972C4">
            <w:pPr>
              <w:rPr>
                <w:sz w:val="20"/>
                <w:szCs w:val="20"/>
                <w:u w:val="single"/>
              </w:rPr>
            </w:pPr>
          </w:p>
          <w:p w:rsidR="003972C4" w:rsidRDefault="003972C4">
            <w:pPr>
              <w:rPr>
                <w:sz w:val="20"/>
                <w:szCs w:val="20"/>
                <w:u w:val="single"/>
              </w:rPr>
            </w:pPr>
          </w:p>
          <w:p w:rsidR="003972C4" w:rsidRDefault="002E0D05">
            <w:pPr>
              <w:rPr>
                <w:sz w:val="20"/>
                <w:szCs w:val="20"/>
                <w:u w:val="single"/>
              </w:rPr>
            </w:pPr>
            <w:r>
              <w:rPr>
                <w:sz w:val="20"/>
                <w:szCs w:val="20"/>
                <w:u w:val="single"/>
              </w:rPr>
              <w:t xml:space="preserve">Challenges </w:t>
            </w:r>
          </w:p>
          <w:p w:rsidR="003972C4" w:rsidRDefault="003972C4">
            <w:pPr>
              <w:rPr>
                <w:sz w:val="20"/>
                <w:szCs w:val="20"/>
                <w:u w:val="single"/>
              </w:rPr>
            </w:pPr>
          </w:p>
          <w:p w:rsidR="003972C4" w:rsidRDefault="002E0D05">
            <w:pPr>
              <w:rPr>
                <w:sz w:val="20"/>
                <w:szCs w:val="20"/>
              </w:rPr>
            </w:pPr>
            <w:r>
              <w:rPr>
                <w:sz w:val="20"/>
                <w:szCs w:val="20"/>
              </w:rPr>
              <w:t>Travancore School works within the context of government tertiary mental health services. The school has always developed its programs within this context.</w:t>
            </w:r>
          </w:p>
          <w:p w:rsidR="003972C4" w:rsidRDefault="003972C4">
            <w:pPr>
              <w:rPr>
                <w:sz w:val="20"/>
                <w:szCs w:val="20"/>
              </w:rPr>
            </w:pPr>
          </w:p>
          <w:p w:rsidR="003972C4" w:rsidRDefault="002E0D05">
            <w:pPr>
              <w:rPr>
                <w:sz w:val="20"/>
                <w:szCs w:val="20"/>
              </w:rPr>
            </w:pPr>
            <w:r>
              <w:rPr>
                <w:sz w:val="20"/>
                <w:szCs w:val="20"/>
              </w:rPr>
              <w:t>Since the 2016 review, MH services have serviced a growing population with increased levels of need. Admissions to the inpatient ward have increased, resulting in shortened stays and higher turnover. Levels of acuity of both children and adolescents within tertiary services have increased.</w:t>
            </w:r>
          </w:p>
          <w:p w:rsidR="003972C4" w:rsidRDefault="003972C4">
            <w:pPr>
              <w:rPr>
                <w:sz w:val="20"/>
                <w:szCs w:val="20"/>
              </w:rPr>
            </w:pPr>
          </w:p>
          <w:p w:rsidR="003972C4" w:rsidRDefault="002E0D05">
            <w:pPr>
              <w:rPr>
                <w:i/>
                <w:sz w:val="16"/>
                <w:szCs w:val="16"/>
              </w:rPr>
            </w:pPr>
            <w:r>
              <w:rPr>
                <w:sz w:val="20"/>
                <w:szCs w:val="20"/>
              </w:rPr>
              <w:t>With the school’s funding currently fixed, decisions about which students will receive a service and the level of intensity of that service have not been clarified</w:t>
            </w:r>
            <w:r>
              <w:rPr>
                <w:color w:val="FF0000"/>
                <w:sz w:val="20"/>
                <w:szCs w:val="20"/>
              </w:rPr>
              <w:t xml:space="preserve">.  </w:t>
            </w:r>
          </w:p>
        </w:tc>
        <w:tc>
          <w:tcPr>
            <w:tcW w:w="9214" w:type="dxa"/>
            <w:vMerge w:val="restart"/>
            <w:shd w:val="clear" w:color="auto" w:fill="FFFFFF"/>
          </w:tcPr>
          <w:p w:rsidR="003972C4" w:rsidRDefault="003972C4">
            <w:pPr>
              <w:rPr>
                <w:i/>
                <w:sz w:val="16"/>
                <w:szCs w:val="16"/>
                <w:highlight w:val="lightGray"/>
              </w:rPr>
            </w:pPr>
          </w:p>
          <w:p w:rsidR="003972C4" w:rsidRDefault="002E0D05">
            <w:pPr>
              <w:numPr>
                <w:ilvl w:val="0"/>
                <w:numId w:val="3"/>
              </w:numPr>
              <w:pBdr>
                <w:top w:val="nil"/>
                <w:left w:val="nil"/>
                <w:bottom w:val="nil"/>
                <w:right w:val="nil"/>
                <w:between w:val="nil"/>
              </w:pBdr>
              <w:contextualSpacing/>
              <w:rPr>
                <w:color w:val="000000"/>
                <w:sz w:val="20"/>
                <w:szCs w:val="20"/>
              </w:rPr>
            </w:pPr>
            <w:r>
              <w:rPr>
                <w:color w:val="000000"/>
                <w:sz w:val="20"/>
                <w:szCs w:val="20"/>
              </w:rPr>
              <w:t>To develop valid data sets in order to evaluate the impact of programs on student outcomes</w:t>
            </w:r>
          </w:p>
          <w:p w:rsidR="003972C4" w:rsidRDefault="003972C4">
            <w:pPr>
              <w:rPr>
                <w:sz w:val="20"/>
                <w:szCs w:val="20"/>
              </w:rPr>
            </w:pPr>
          </w:p>
          <w:p w:rsidR="003972C4" w:rsidRDefault="002E0D05">
            <w:pPr>
              <w:ind w:left="743"/>
              <w:rPr>
                <w:sz w:val="20"/>
                <w:szCs w:val="20"/>
                <w:highlight w:val="lightGray"/>
              </w:rPr>
            </w:pPr>
            <w:r>
              <w:rPr>
                <w:sz w:val="20"/>
                <w:szCs w:val="20"/>
              </w:rPr>
              <w:t>Effective teachers use student outcomes to evaluate the impact of their teaching on student learning and then adapted to better meet student learning needs. Effective schools provide time and resources to teachers and teams to analyse their impact on student learning growth.  Furthermore, effective schools systematically collect student learning data and present it in a format that is readily analysed enabling the identification of trends</w:t>
            </w:r>
          </w:p>
          <w:p w:rsidR="003972C4" w:rsidRDefault="003972C4">
            <w:pPr>
              <w:ind w:left="743"/>
              <w:rPr>
                <w:sz w:val="20"/>
                <w:szCs w:val="20"/>
                <w:highlight w:val="lightGray"/>
              </w:rPr>
            </w:pPr>
          </w:p>
          <w:p w:rsidR="003972C4" w:rsidRDefault="002E0D05">
            <w:pPr>
              <w:ind w:left="743"/>
              <w:rPr>
                <w:sz w:val="20"/>
                <w:szCs w:val="20"/>
                <w:highlight w:val="lightGray"/>
              </w:rPr>
            </w:pPr>
            <w:r>
              <w:rPr>
                <w:sz w:val="20"/>
                <w:szCs w:val="20"/>
                <w:highlight w:val="lightGray"/>
              </w:rPr>
              <w:t>Excellence in teaching and learning - Evaluating impact on learning</w:t>
            </w:r>
          </w:p>
          <w:p w:rsidR="003972C4" w:rsidRDefault="003972C4">
            <w:pPr>
              <w:pBdr>
                <w:top w:val="nil"/>
                <w:left w:val="nil"/>
                <w:bottom w:val="nil"/>
                <w:right w:val="nil"/>
                <w:between w:val="nil"/>
              </w:pBdr>
              <w:ind w:left="720" w:hanging="720"/>
              <w:rPr>
                <w:color w:val="000000"/>
                <w:sz w:val="20"/>
                <w:szCs w:val="20"/>
                <w:highlight w:val="lightGray"/>
              </w:rPr>
            </w:pPr>
          </w:p>
          <w:p w:rsidR="003972C4" w:rsidRDefault="002E0D05">
            <w:pPr>
              <w:numPr>
                <w:ilvl w:val="0"/>
                <w:numId w:val="3"/>
              </w:numPr>
              <w:pBdr>
                <w:top w:val="nil"/>
                <w:left w:val="nil"/>
                <w:bottom w:val="nil"/>
                <w:right w:val="nil"/>
                <w:between w:val="nil"/>
              </w:pBdr>
              <w:contextualSpacing/>
              <w:rPr>
                <w:color w:val="000000"/>
                <w:sz w:val="20"/>
                <w:szCs w:val="20"/>
              </w:rPr>
            </w:pPr>
            <w:r>
              <w:rPr>
                <w:color w:val="000000"/>
                <w:sz w:val="20"/>
                <w:szCs w:val="20"/>
              </w:rPr>
              <w:t>To continually improve teacher practice through embedding a coaching and feedback culture</w:t>
            </w:r>
          </w:p>
          <w:p w:rsidR="003972C4" w:rsidRDefault="002E0D05">
            <w:pPr>
              <w:ind w:left="743"/>
              <w:rPr>
                <w:sz w:val="20"/>
                <w:szCs w:val="20"/>
              </w:rPr>
            </w:pPr>
            <w:r>
              <w:rPr>
                <w:sz w:val="20"/>
                <w:szCs w:val="20"/>
              </w:rPr>
              <w:t xml:space="preserve">Improved student outcomes are achieved by staff participating in professional learning that improves their practice. Coaching is an effective form of professional learning as it provides the opportunity for staff to; collaborate, receive feedback and reflect on how practice impacts on student learning.  </w:t>
            </w:r>
          </w:p>
          <w:p w:rsidR="003972C4" w:rsidRDefault="003972C4">
            <w:pPr>
              <w:ind w:left="743"/>
              <w:rPr>
                <w:sz w:val="20"/>
                <w:szCs w:val="20"/>
                <w:highlight w:val="lightGray"/>
              </w:rPr>
            </w:pPr>
          </w:p>
          <w:p w:rsidR="003972C4" w:rsidRDefault="002E0D05">
            <w:pPr>
              <w:ind w:left="743"/>
              <w:rPr>
                <w:sz w:val="20"/>
                <w:szCs w:val="20"/>
                <w:highlight w:val="lightGray"/>
              </w:rPr>
            </w:pPr>
            <w:r>
              <w:rPr>
                <w:sz w:val="20"/>
                <w:szCs w:val="20"/>
                <w:highlight w:val="lightGray"/>
              </w:rPr>
              <w:t>Excellence in teaching and learning - Building practice excellence</w:t>
            </w:r>
          </w:p>
          <w:p w:rsidR="003972C4" w:rsidRDefault="003972C4">
            <w:pPr>
              <w:ind w:left="743"/>
              <w:rPr>
                <w:sz w:val="20"/>
                <w:szCs w:val="20"/>
              </w:rPr>
            </w:pPr>
          </w:p>
          <w:p w:rsidR="003972C4" w:rsidRDefault="003972C4">
            <w:pPr>
              <w:rPr>
                <w:sz w:val="20"/>
                <w:szCs w:val="20"/>
              </w:rPr>
            </w:pPr>
          </w:p>
          <w:p w:rsidR="003972C4" w:rsidRDefault="002E0D05">
            <w:pPr>
              <w:numPr>
                <w:ilvl w:val="0"/>
                <w:numId w:val="3"/>
              </w:numPr>
              <w:pBdr>
                <w:top w:val="nil"/>
                <w:left w:val="nil"/>
                <w:bottom w:val="nil"/>
                <w:right w:val="nil"/>
                <w:between w:val="nil"/>
              </w:pBdr>
              <w:contextualSpacing/>
              <w:rPr>
                <w:color w:val="000000"/>
                <w:sz w:val="20"/>
                <w:szCs w:val="20"/>
              </w:rPr>
            </w:pPr>
            <w:r>
              <w:rPr>
                <w:color w:val="000000"/>
                <w:sz w:val="20"/>
                <w:szCs w:val="20"/>
              </w:rPr>
              <w:t xml:space="preserve">To contribute to the health and wellbeing outcomes for students through both direct work and capacity building across the community </w:t>
            </w:r>
          </w:p>
          <w:p w:rsidR="003972C4" w:rsidRDefault="002E0D05">
            <w:pPr>
              <w:ind w:left="743"/>
              <w:rPr>
                <w:sz w:val="20"/>
                <w:szCs w:val="20"/>
              </w:rPr>
            </w:pPr>
            <w:r>
              <w:rPr>
                <w:sz w:val="20"/>
                <w:szCs w:val="20"/>
              </w:rPr>
              <w:t xml:space="preserve">Effective schools are aware of health and well-being needs of students. They take steps to support student’s physical and mental health as well is fostering a sense of belonging and community. They use social and emotional learning approaches to develop student’s self-management, awareness, </w:t>
            </w:r>
            <w:proofErr w:type="gramStart"/>
            <w:r>
              <w:rPr>
                <w:sz w:val="20"/>
                <w:szCs w:val="20"/>
              </w:rPr>
              <w:t>empathy</w:t>
            </w:r>
            <w:proofErr w:type="gramEnd"/>
            <w:r>
              <w:rPr>
                <w:sz w:val="20"/>
                <w:szCs w:val="20"/>
              </w:rPr>
              <w:t xml:space="preserve"> and relationship skills. Schools ensure that every student has a secure positive relationship with at least one teacher</w:t>
            </w:r>
          </w:p>
          <w:p w:rsidR="003972C4" w:rsidRDefault="003972C4">
            <w:pPr>
              <w:ind w:left="743"/>
              <w:rPr>
                <w:sz w:val="20"/>
                <w:szCs w:val="20"/>
                <w:highlight w:val="lightGray"/>
              </w:rPr>
            </w:pPr>
          </w:p>
          <w:p w:rsidR="003972C4" w:rsidRDefault="002E0D05">
            <w:pPr>
              <w:shd w:val="clear" w:color="auto" w:fill="FFFFFF"/>
              <w:ind w:left="743"/>
              <w:rPr>
                <w:sz w:val="20"/>
                <w:szCs w:val="20"/>
              </w:rPr>
            </w:pPr>
            <w:r>
              <w:rPr>
                <w:sz w:val="20"/>
                <w:szCs w:val="20"/>
              </w:rPr>
              <w:t xml:space="preserve">Effective schools create and sustain partnerships to target health, wellbeing and learning needs of students and their families and address complex social barriers to participation in learning by addressing risk factors and promoting proven protective practices. They also co-design learning experiences with their partners that have mutual benefits. </w:t>
            </w:r>
          </w:p>
          <w:p w:rsidR="003972C4" w:rsidRDefault="003972C4">
            <w:pPr>
              <w:rPr>
                <w:sz w:val="20"/>
                <w:szCs w:val="20"/>
              </w:rPr>
            </w:pPr>
          </w:p>
          <w:p w:rsidR="003972C4" w:rsidRDefault="002E0D05">
            <w:pPr>
              <w:ind w:left="743"/>
              <w:rPr>
                <w:sz w:val="20"/>
                <w:szCs w:val="20"/>
                <w:highlight w:val="lightGray"/>
              </w:rPr>
            </w:pPr>
            <w:r>
              <w:rPr>
                <w:sz w:val="20"/>
                <w:szCs w:val="20"/>
                <w:highlight w:val="lightGray"/>
              </w:rPr>
              <w:t>Positive climate for learning - Health and wellbeing</w:t>
            </w:r>
          </w:p>
          <w:p w:rsidR="003972C4" w:rsidRDefault="003972C4">
            <w:pPr>
              <w:ind w:left="743"/>
              <w:rPr>
                <w:sz w:val="20"/>
                <w:szCs w:val="20"/>
                <w:highlight w:val="lightGray"/>
              </w:rPr>
            </w:pPr>
          </w:p>
          <w:p w:rsidR="003972C4" w:rsidRDefault="002E0D05">
            <w:pPr>
              <w:ind w:left="743"/>
              <w:rPr>
                <w:sz w:val="20"/>
                <w:szCs w:val="20"/>
                <w:highlight w:val="lightGray"/>
              </w:rPr>
            </w:pPr>
            <w:r>
              <w:rPr>
                <w:sz w:val="20"/>
                <w:szCs w:val="20"/>
                <w:highlight w:val="lightGray"/>
              </w:rPr>
              <w:t>Community engagement in learning  - Building Communities</w:t>
            </w:r>
          </w:p>
          <w:p w:rsidR="003972C4" w:rsidRDefault="003972C4">
            <w:pPr>
              <w:rPr>
                <w:i/>
                <w:sz w:val="20"/>
                <w:szCs w:val="20"/>
                <w:highlight w:val="lightGray"/>
              </w:rPr>
            </w:pPr>
          </w:p>
          <w:p w:rsidR="003972C4" w:rsidRDefault="003972C4">
            <w:pPr>
              <w:rPr>
                <w:i/>
                <w:sz w:val="20"/>
                <w:szCs w:val="20"/>
                <w:highlight w:val="lightGray"/>
              </w:rPr>
            </w:pPr>
          </w:p>
          <w:p w:rsidR="003972C4" w:rsidRDefault="003972C4">
            <w:pPr>
              <w:rPr>
                <w:i/>
                <w:sz w:val="20"/>
                <w:szCs w:val="20"/>
                <w:highlight w:val="lightGray"/>
              </w:rPr>
            </w:pPr>
          </w:p>
          <w:p w:rsidR="003972C4" w:rsidRDefault="003972C4">
            <w:pPr>
              <w:rPr>
                <w:i/>
                <w:sz w:val="20"/>
                <w:szCs w:val="20"/>
                <w:highlight w:val="lightGray"/>
              </w:rPr>
            </w:pPr>
          </w:p>
          <w:p w:rsidR="003972C4" w:rsidRDefault="003972C4">
            <w:pPr>
              <w:rPr>
                <w:sz w:val="16"/>
                <w:szCs w:val="16"/>
              </w:rPr>
            </w:pPr>
          </w:p>
          <w:p w:rsidR="003972C4" w:rsidRDefault="003972C4">
            <w:pPr>
              <w:rPr>
                <w:sz w:val="16"/>
                <w:szCs w:val="16"/>
              </w:rPr>
            </w:pPr>
          </w:p>
        </w:tc>
      </w:tr>
      <w:tr w:rsidR="003972C4">
        <w:trPr>
          <w:trHeight w:val="225"/>
        </w:trPr>
        <w:tc>
          <w:tcPr>
            <w:tcW w:w="3686" w:type="dxa"/>
            <w:vMerge/>
          </w:tcPr>
          <w:p w:rsidR="003972C4" w:rsidRDefault="003972C4">
            <w:pPr>
              <w:widowControl w:val="0"/>
              <w:pBdr>
                <w:top w:val="nil"/>
                <w:left w:val="nil"/>
                <w:bottom w:val="nil"/>
                <w:right w:val="nil"/>
                <w:between w:val="nil"/>
              </w:pBdr>
              <w:spacing w:line="276" w:lineRule="auto"/>
              <w:rPr>
                <w:sz w:val="16"/>
                <w:szCs w:val="16"/>
              </w:rPr>
            </w:pPr>
          </w:p>
        </w:tc>
        <w:tc>
          <w:tcPr>
            <w:tcW w:w="4678" w:type="dxa"/>
            <w:vMerge/>
          </w:tcPr>
          <w:p w:rsidR="003972C4" w:rsidRDefault="003972C4">
            <w:pPr>
              <w:widowControl w:val="0"/>
              <w:pBdr>
                <w:top w:val="nil"/>
                <w:left w:val="nil"/>
                <w:bottom w:val="nil"/>
                <w:right w:val="nil"/>
                <w:between w:val="nil"/>
              </w:pBdr>
              <w:spacing w:line="276" w:lineRule="auto"/>
              <w:rPr>
                <w:sz w:val="16"/>
                <w:szCs w:val="16"/>
              </w:rPr>
            </w:pPr>
          </w:p>
        </w:tc>
        <w:tc>
          <w:tcPr>
            <w:tcW w:w="4961" w:type="dxa"/>
            <w:vMerge/>
          </w:tcPr>
          <w:p w:rsidR="003972C4" w:rsidRDefault="003972C4">
            <w:pPr>
              <w:widowControl w:val="0"/>
              <w:pBdr>
                <w:top w:val="nil"/>
                <w:left w:val="nil"/>
                <w:bottom w:val="nil"/>
                <w:right w:val="nil"/>
                <w:between w:val="nil"/>
              </w:pBdr>
              <w:spacing w:line="276" w:lineRule="auto"/>
              <w:rPr>
                <w:sz w:val="16"/>
                <w:szCs w:val="16"/>
              </w:rPr>
            </w:pPr>
          </w:p>
        </w:tc>
        <w:tc>
          <w:tcPr>
            <w:tcW w:w="9214" w:type="dxa"/>
            <w:vMerge/>
            <w:shd w:val="clear" w:color="auto" w:fill="FFFFFF"/>
          </w:tcPr>
          <w:p w:rsidR="003972C4" w:rsidRDefault="003972C4">
            <w:pPr>
              <w:widowControl w:val="0"/>
              <w:pBdr>
                <w:top w:val="nil"/>
                <w:left w:val="nil"/>
                <w:bottom w:val="nil"/>
                <w:right w:val="nil"/>
                <w:between w:val="nil"/>
              </w:pBdr>
              <w:spacing w:line="276" w:lineRule="auto"/>
              <w:rPr>
                <w:sz w:val="16"/>
                <w:szCs w:val="16"/>
              </w:rPr>
            </w:pPr>
          </w:p>
        </w:tc>
      </w:tr>
      <w:tr w:rsidR="003972C4">
        <w:trPr>
          <w:trHeight w:val="225"/>
        </w:trPr>
        <w:tc>
          <w:tcPr>
            <w:tcW w:w="3686" w:type="dxa"/>
            <w:vMerge/>
          </w:tcPr>
          <w:p w:rsidR="003972C4" w:rsidRDefault="003972C4">
            <w:pPr>
              <w:widowControl w:val="0"/>
              <w:pBdr>
                <w:top w:val="nil"/>
                <w:left w:val="nil"/>
                <w:bottom w:val="nil"/>
                <w:right w:val="nil"/>
                <w:between w:val="nil"/>
              </w:pBdr>
              <w:spacing w:line="276" w:lineRule="auto"/>
              <w:rPr>
                <w:sz w:val="16"/>
                <w:szCs w:val="16"/>
              </w:rPr>
            </w:pPr>
          </w:p>
        </w:tc>
        <w:tc>
          <w:tcPr>
            <w:tcW w:w="4678" w:type="dxa"/>
            <w:vMerge/>
          </w:tcPr>
          <w:p w:rsidR="003972C4" w:rsidRDefault="003972C4">
            <w:pPr>
              <w:widowControl w:val="0"/>
              <w:pBdr>
                <w:top w:val="nil"/>
                <w:left w:val="nil"/>
                <w:bottom w:val="nil"/>
                <w:right w:val="nil"/>
                <w:between w:val="nil"/>
              </w:pBdr>
              <w:spacing w:line="276" w:lineRule="auto"/>
              <w:rPr>
                <w:sz w:val="16"/>
                <w:szCs w:val="16"/>
              </w:rPr>
            </w:pPr>
          </w:p>
        </w:tc>
        <w:tc>
          <w:tcPr>
            <w:tcW w:w="4961" w:type="dxa"/>
            <w:vMerge/>
          </w:tcPr>
          <w:p w:rsidR="003972C4" w:rsidRDefault="003972C4">
            <w:pPr>
              <w:widowControl w:val="0"/>
              <w:pBdr>
                <w:top w:val="nil"/>
                <w:left w:val="nil"/>
                <w:bottom w:val="nil"/>
                <w:right w:val="nil"/>
                <w:between w:val="nil"/>
              </w:pBdr>
              <w:spacing w:line="276" w:lineRule="auto"/>
              <w:rPr>
                <w:sz w:val="16"/>
                <w:szCs w:val="16"/>
              </w:rPr>
            </w:pPr>
          </w:p>
        </w:tc>
        <w:tc>
          <w:tcPr>
            <w:tcW w:w="9214" w:type="dxa"/>
            <w:vMerge/>
            <w:shd w:val="clear" w:color="auto" w:fill="FFFFFF"/>
          </w:tcPr>
          <w:p w:rsidR="003972C4" w:rsidRDefault="003972C4">
            <w:pPr>
              <w:widowControl w:val="0"/>
              <w:pBdr>
                <w:top w:val="nil"/>
                <w:left w:val="nil"/>
                <w:bottom w:val="nil"/>
                <w:right w:val="nil"/>
                <w:between w:val="nil"/>
              </w:pBdr>
              <w:spacing w:line="276" w:lineRule="auto"/>
              <w:rPr>
                <w:sz w:val="16"/>
                <w:szCs w:val="16"/>
              </w:rPr>
            </w:pPr>
          </w:p>
        </w:tc>
      </w:tr>
    </w:tbl>
    <w:p w:rsidR="003972C4" w:rsidRDefault="003972C4">
      <w:pPr>
        <w:tabs>
          <w:tab w:val="left" w:pos="3000"/>
        </w:tabs>
      </w:pPr>
    </w:p>
    <w:p w:rsidR="003972C4" w:rsidRDefault="002E0D05">
      <w:r>
        <w:br w:type="page"/>
      </w:r>
    </w:p>
    <w:p w:rsidR="003972C4" w:rsidRDefault="003972C4">
      <w:pPr>
        <w:tabs>
          <w:tab w:val="left" w:pos="3000"/>
        </w:tabs>
      </w:pPr>
    </w:p>
    <w:tbl>
      <w:tblPr>
        <w:tblStyle w:val="a1"/>
        <w:tblW w:w="2258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6"/>
        <w:gridCol w:w="4111"/>
        <w:gridCol w:w="6615"/>
        <w:gridCol w:w="6615"/>
      </w:tblGrid>
      <w:tr w:rsidR="003972C4">
        <w:trPr>
          <w:trHeight w:val="560"/>
        </w:trPr>
        <w:tc>
          <w:tcPr>
            <w:tcW w:w="5246" w:type="dxa"/>
            <w:shd w:val="clear" w:color="auto" w:fill="C2D69B"/>
          </w:tcPr>
          <w:p w:rsidR="003972C4" w:rsidRDefault="002E0D05">
            <w:pPr>
              <w:spacing w:before="120" w:after="120"/>
              <w:rPr>
                <w:b/>
                <w:sz w:val="18"/>
                <w:szCs w:val="18"/>
              </w:rPr>
            </w:pPr>
            <w:r>
              <w:rPr>
                <w:b/>
                <w:sz w:val="18"/>
                <w:szCs w:val="18"/>
              </w:rPr>
              <w:t xml:space="preserve">Two-year goals </w:t>
            </w:r>
            <w:r>
              <w:rPr>
                <w:b/>
                <w:sz w:val="18"/>
                <w:szCs w:val="18"/>
              </w:rPr>
              <w:br/>
            </w:r>
            <w:r>
              <w:rPr>
                <w:b/>
                <w:sz w:val="16"/>
                <w:szCs w:val="16"/>
              </w:rPr>
              <w:t>(for improving student achievement, engagement and wellbeing)</w:t>
            </w:r>
          </w:p>
        </w:tc>
        <w:tc>
          <w:tcPr>
            <w:tcW w:w="4111" w:type="dxa"/>
            <w:shd w:val="clear" w:color="auto" w:fill="C2D69B"/>
          </w:tcPr>
          <w:p w:rsidR="003972C4" w:rsidRDefault="002E0D05">
            <w:pPr>
              <w:spacing w:before="120"/>
              <w:rPr>
                <w:b/>
                <w:sz w:val="18"/>
                <w:szCs w:val="18"/>
              </w:rPr>
            </w:pPr>
            <w:r>
              <w:rPr>
                <w:b/>
                <w:sz w:val="18"/>
                <w:szCs w:val="18"/>
              </w:rPr>
              <w:t>Improvement Priorities, Initiatives and/or Dimensions</w:t>
            </w:r>
          </w:p>
        </w:tc>
        <w:tc>
          <w:tcPr>
            <w:tcW w:w="6615" w:type="dxa"/>
            <w:shd w:val="clear" w:color="auto" w:fill="C2D69B"/>
          </w:tcPr>
          <w:p w:rsidR="003972C4" w:rsidRDefault="002E0D05">
            <w:pPr>
              <w:spacing w:before="120"/>
              <w:rPr>
                <w:b/>
                <w:sz w:val="18"/>
                <w:szCs w:val="18"/>
              </w:rPr>
            </w:pPr>
            <w:r>
              <w:rPr>
                <w:b/>
                <w:sz w:val="18"/>
                <w:szCs w:val="18"/>
              </w:rPr>
              <w:t xml:space="preserve">Key improvement strategies </w:t>
            </w:r>
          </w:p>
        </w:tc>
        <w:tc>
          <w:tcPr>
            <w:tcW w:w="6615" w:type="dxa"/>
            <w:shd w:val="clear" w:color="auto" w:fill="C2D69B"/>
          </w:tcPr>
          <w:p w:rsidR="003972C4" w:rsidRDefault="002E0D05">
            <w:pPr>
              <w:spacing w:before="120"/>
              <w:rPr>
                <w:b/>
                <w:sz w:val="18"/>
                <w:szCs w:val="18"/>
              </w:rPr>
            </w:pPr>
            <w:r>
              <w:rPr>
                <w:b/>
                <w:sz w:val="18"/>
                <w:szCs w:val="18"/>
              </w:rPr>
              <w:t xml:space="preserve">Targets </w:t>
            </w:r>
            <w:r>
              <w:rPr>
                <w:b/>
                <w:sz w:val="18"/>
                <w:szCs w:val="18"/>
              </w:rPr>
              <w:br/>
            </w:r>
            <w:r>
              <w:rPr>
                <w:b/>
                <w:sz w:val="16"/>
                <w:szCs w:val="16"/>
              </w:rPr>
              <w:t>(for improving student achievement, engagement and wellbeing)</w:t>
            </w:r>
          </w:p>
        </w:tc>
      </w:tr>
      <w:tr w:rsidR="003972C4">
        <w:trPr>
          <w:trHeight w:val="720"/>
        </w:trPr>
        <w:tc>
          <w:tcPr>
            <w:tcW w:w="5246" w:type="dxa"/>
            <w:shd w:val="clear" w:color="auto" w:fill="auto"/>
          </w:tcPr>
          <w:p w:rsidR="003972C4" w:rsidRDefault="003972C4">
            <w:pPr>
              <w:rPr>
                <w:rFonts w:ascii="Arial" w:eastAsia="Arial" w:hAnsi="Arial" w:cs="Arial"/>
              </w:rPr>
            </w:pPr>
          </w:p>
          <w:p w:rsidR="003972C4" w:rsidRDefault="002E0D05">
            <w:pPr>
              <w:pBdr>
                <w:top w:val="nil"/>
                <w:left w:val="nil"/>
                <w:bottom w:val="nil"/>
                <w:right w:val="nil"/>
                <w:between w:val="nil"/>
              </w:pBdr>
              <w:tabs>
                <w:tab w:val="left" w:pos="205"/>
              </w:tabs>
              <w:rPr>
                <w:rFonts w:ascii="Arial" w:eastAsia="Arial" w:hAnsi="Arial" w:cs="Arial"/>
                <w:color w:val="000000"/>
              </w:rPr>
            </w:pPr>
            <w:r>
              <w:rPr>
                <w:rFonts w:ascii="Arial" w:eastAsia="Arial" w:hAnsi="Arial" w:cs="Arial"/>
                <w:color w:val="000000"/>
              </w:rPr>
              <w:t>Improve student outcomes by teachers evaluating their impact on learning</w:t>
            </w:r>
          </w:p>
          <w:p w:rsidR="003972C4" w:rsidRDefault="003972C4">
            <w:pPr>
              <w:rPr>
                <w:rFonts w:ascii="Arial" w:eastAsia="Arial" w:hAnsi="Arial" w:cs="Arial"/>
              </w:rPr>
            </w:pPr>
          </w:p>
        </w:tc>
        <w:tc>
          <w:tcPr>
            <w:tcW w:w="4111" w:type="dxa"/>
            <w:shd w:val="clear" w:color="auto" w:fill="auto"/>
          </w:tcPr>
          <w:p w:rsidR="003972C4" w:rsidRDefault="002E0D05">
            <w:pPr>
              <w:pBdr>
                <w:top w:val="nil"/>
                <w:left w:val="nil"/>
                <w:bottom w:val="nil"/>
                <w:right w:val="nil"/>
                <w:between w:val="nil"/>
              </w:pBdr>
              <w:tabs>
                <w:tab w:val="left" w:pos="205"/>
              </w:tabs>
              <w:rPr>
                <w:rFonts w:ascii="Arial" w:eastAsia="Arial" w:hAnsi="Arial" w:cs="Arial"/>
                <w:b/>
                <w:color w:val="000000"/>
              </w:rPr>
            </w:pPr>
            <w:r>
              <w:rPr>
                <w:rFonts w:ascii="Arial" w:eastAsia="Arial" w:hAnsi="Arial" w:cs="Arial"/>
                <w:b/>
                <w:color w:val="000000"/>
              </w:rPr>
              <w:t xml:space="preserve">Excellence in Teaching and Learning </w:t>
            </w:r>
          </w:p>
          <w:p w:rsidR="003972C4" w:rsidRDefault="002E0D05">
            <w:pPr>
              <w:numPr>
                <w:ilvl w:val="0"/>
                <w:numId w:val="7"/>
              </w:numPr>
              <w:pBdr>
                <w:top w:val="nil"/>
                <w:left w:val="nil"/>
                <w:bottom w:val="nil"/>
                <w:right w:val="nil"/>
                <w:between w:val="nil"/>
              </w:pBdr>
              <w:tabs>
                <w:tab w:val="left" w:pos="205"/>
              </w:tabs>
              <w:ind w:hanging="544"/>
              <w:rPr>
                <w:b/>
                <w:color w:val="000000"/>
              </w:rPr>
            </w:pPr>
            <w:r>
              <w:rPr>
                <w:rFonts w:ascii="Arial" w:eastAsia="Arial" w:hAnsi="Arial" w:cs="Arial"/>
                <w:b/>
                <w:i/>
                <w:color w:val="000000"/>
              </w:rPr>
              <w:t>Evaluating impact on learning</w:t>
            </w:r>
          </w:p>
          <w:p w:rsidR="003972C4" w:rsidRDefault="003972C4">
            <w:pPr>
              <w:pBdr>
                <w:top w:val="nil"/>
                <w:left w:val="nil"/>
                <w:bottom w:val="nil"/>
                <w:right w:val="nil"/>
                <w:between w:val="nil"/>
              </w:pBdr>
              <w:tabs>
                <w:tab w:val="left" w:pos="205"/>
              </w:tabs>
              <w:ind w:left="176"/>
              <w:rPr>
                <w:rFonts w:ascii="Arial" w:eastAsia="Arial" w:hAnsi="Arial" w:cs="Arial"/>
                <w:b/>
                <w:color w:val="737277"/>
              </w:rPr>
            </w:pPr>
          </w:p>
        </w:tc>
        <w:tc>
          <w:tcPr>
            <w:tcW w:w="6615" w:type="dxa"/>
            <w:shd w:val="clear" w:color="auto" w:fill="auto"/>
          </w:tcPr>
          <w:p w:rsidR="003972C4" w:rsidRDefault="003972C4">
            <w:pPr>
              <w:rPr>
                <w:rFonts w:ascii="Arial" w:eastAsia="Arial" w:hAnsi="Arial" w:cs="Arial"/>
              </w:rPr>
            </w:pPr>
          </w:p>
          <w:p w:rsidR="003972C4" w:rsidRDefault="003972C4">
            <w:pPr>
              <w:pBdr>
                <w:top w:val="nil"/>
                <w:left w:val="nil"/>
                <w:bottom w:val="nil"/>
                <w:right w:val="nil"/>
                <w:between w:val="nil"/>
              </w:pBdr>
              <w:tabs>
                <w:tab w:val="left" w:pos="205"/>
              </w:tabs>
              <w:rPr>
                <w:rFonts w:ascii="Arial" w:eastAsia="Arial" w:hAnsi="Arial" w:cs="Arial"/>
                <w:color w:val="000000"/>
              </w:rPr>
            </w:pPr>
          </w:p>
          <w:p w:rsidR="003972C4" w:rsidRDefault="002E0D05">
            <w:pPr>
              <w:numPr>
                <w:ilvl w:val="0"/>
                <w:numId w:val="7"/>
              </w:numPr>
              <w:pBdr>
                <w:top w:val="nil"/>
                <w:left w:val="nil"/>
                <w:bottom w:val="nil"/>
                <w:right w:val="nil"/>
                <w:between w:val="nil"/>
              </w:pBdr>
              <w:tabs>
                <w:tab w:val="left" w:pos="205"/>
              </w:tabs>
              <w:rPr>
                <w:color w:val="000000"/>
              </w:rPr>
            </w:pPr>
            <w:r>
              <w:rPr>
                <w:rFonts w:ascii="Arial" w:eastAsia="Arial" w:hAnsi="Arial" w:cs="Arial"/>
                <w:color w:val="000000"/>
              </w:rPr>
              <w:t>Strengthen teacher capacity to analyse data to inform student learning</w:t>
            </w:r>
          </w:p>
          <w:p w:rsidR="003972C4" w:rsidRDefault="003972C4">
            <w:pPr>
              <w:pBdr>
                <w:top w:val="nil"/>
                <w:left w:val="nil"/>
                <w:bottom w:val="nil"/>
                <w:right w:val="nil"/>
                <w:between w:val="nil"/>
              </w:pBdr>
              <w:tabs>
                <w:tab w:val="left" w:pos="205"/>
              </w:tabs>
              <w:ind w:left="565"/>
              <w:rPr>
                <w:rFonts w:ascii="Arial" w:eastAsia="Arial" w:hAnsi="Arial" w:cs="Arial"/>
                <w:color w:val="000000"/>
              </w:rPr>
            </w:pPr>
          </w:p>
        </w:tc>
        <w:tc>
          <w:tcPr>
            <w:tcW w:w="6615" w:type="dxa"/>
            <w:shd w:val="clear" w:color="auto" w:fill="auto"/>
          </w:tcPr>
          <w:p w:rsidR="003972C4" w:rsidRDefault="002E0D05">
            <w:pPr>
              <w:pBdr>
                <w:top w:val="nil"/>
                <w:left w:val="nil"/>
                <w:bottom w:val="nil"/>
                <w:right w:val="nil"/>
                <w:between w:val="nil"/>
              </w:pBdr>
              <w:tabs>
                <w:tab w:val="left" w:pos="205"/>
              </w:tabs>
              <w:rPr>
                <w:rFonts w:ascii="Arial" w:eastAsia="Arial" w:hAnsi="Arial" w:cs="Arial"/>
                <w:color w:val="000000"/>
              </w:rPr>
            </w:pPr>
            <w:r>
              <w:rPr>
                <w:rFonts w:ascii="Arial" w:eastAsia="Arial" w:hAnsi="Arial" w:cs="Arial"/>
                <w:color w:val="000000"/>
              </w:rPr>
              <w:t>80% of student ILP objectives will continue to be attained.</w:t>
            </w:r>
          </w:p>
          <w:p w:rsidR="003972C4" w:rsidRDefault="003972C4">
            <w:pPr>
              <w:pBdr>
                <w:top w:val="nil"/>
                <w:left w:val="nil"/>
                <w:bottom w:val="nil"/>
                <w:right w:val="nil"/>
                <w:between w:val="nil"/>
              </w:pBdr>
              <w:tabs>
                <w:tab w:val="left" w:pos="205"/>
              </w:tabs>
              <w:rPr>
                <w:rFonts w:ascii="Arial" w:eastAsia="Arial" w:hAnsi="Arial" w:cs="Arial"/>
                <w:color w:val="000000"/>
              </w:rPr>
            </w:pPr>
          </w:p>
          <w:p w:rsidR="003972C4" w:rsidRDefault="002E0D05">
            <w:pPr>
              <w:pBdr>
                <w:top w:val="nil"/>
                <w:left w:val="nil"/>
                <w:bottom w:val="nil"/>
                <w:right w:val="nil"/>
                <w:between w:val="nil"/>
              </w:pBdr>
              <w:tabs>
                <w:tab w:val="left" w:pos="205"/>
              </w:tabs>
              <w:rPr>
                <w:rFonts w:ascii="Arial" w:eastAsia="Arial" w:hAnsi="Arial" w:cs="Arial"/>
                <w:color w:val="000000"/>
              </w:rPr>
            </w:pPr>
            <w:r>
              <w:rPr>
                <w:rFonts w:ascii="Arial" w:eastAsia="Arial" w:hAnsi="Arial" w:cs="Arial"/>
                <w:color w:val="000000"/>
              </w:rPr>
              <w:t xml:space="preserve">85% of Operation </w:t>
            </w:r>
            <w:proofErr w:type="spellStart"/>
            <w:r>
              <w:rPr>
                <w:rFonts w:ascii="Arial" w:eastAsia="Arial" w:hAnsi="Arial" w:cs="Arial"/>
                <w:color w:val="000000"/>
              </w:rPr>
              <w:t>Newstart</w:t>
            </w:r>
            <w:proofErr w:type="spellEnd"/>
            <w:r>
              <w:rPr>
                <w:rFonts w:ascii="Arial" w:eastAsia="Arial" w:hAnsi="Arial" w:cs="Arial"/>
                <w:color w:val="000000"/>
              </w:rPr>
              <w:t xml:space="preserve"> and In2School students tracked 3 months from closure are engaged in education with at least 70% attendance for the previous 4 weeks.</w:t>
            </w:r>
          </w:p>
          <w:p w:rsidR="003972C4" w:rsidRDefault="003972C4">
            <w:pPr>
              <w:pBdr>
                <w:top w:val="nil"/>
                <w:left w:val="nil"/>
                <w:bottom w:val="nil"/>
                <w:right w:val="nil"/>
                <w:between w:val="nil"/>
              </w:pBdr>
              <w:tabs>
                <w:tab w:val="left" w:pos="205"/>
              </w:tabs>
              <w:rPr>
                <w:rFonts w:ascii="Arial" w:eastAsia="Arial" w:hAnsi="Arial" w:cs="Arial"/>
                <w:color w:val="000000"/>
              </w:rPr>
            </w:pPr>
          </w:p>
          <w:p w:rsidR="003972C4" w:rsidRDefault="002E0D05">
            <w:pPr>
              <w:pBdr>
                <w:top w:val="nil"/>
                <w:left w:val="nil"/>
                <w:bottom w:val="nil"/>
                <w:right w:val="nil"/>
                <w:between w:val="nil"/>
              </w:pBdr>
              <w:tabs>
                <w:tab w:val="left" w:pos="205"/>
              </w:tabs>
              <w:rPr>
                <w:rFonts w:ascii="Arial" w:eastAsia="Arial" w:hAnsi="Arial" w:cs="Arial"/>
                <w:color w:val="000000"/>
              </w:rPr>
            </w:pPr>
            <w:r>
              <w:rPr>
                <w:rFonts w:ascii="Arial" w:eastAsia="Arial" w:hAnsi="Arial" w:cs="Arial"/>
                <w:color w:val="000000"/>
              </w:rPr>
              <w:t>Student survey shows 90% of students agree or strongly agree that:</w:t>
            </w:r>
          </w:p>
          <w:p w:rsidR="003972C4" w:rsidRDefault="002E0D05">
            <w:pPr>
              <w:pBdr>
                <w:top w:val="nil"/>
                <w:left w:val="nil"/>
                <w:bottom w:val="nil"/>
                <w:right w:val="nil"/>
                <w:between w:val="nil"/>
              </w:pBdr>
              <w:tabs>
                <w:tab w:val="left" w:pos="205"/>
              </w:tabs>
              <w:rPr>
                <w:rFonts w:ascii="Arial" w:eastAsia="Arial" w:hAnsi="Arial" w:cs="Arial"/>
                <w:i/>
                <w:color w:val="000000"/>
              </w:rPr>
            </w:pPr>
            <w:r>
              <w:rPr>
                <w:rFonts w:ascii="Arial" w:eastAsia="Arial" w:hAnsi="Arial" w:cs="Arial"/>
                <w:i/>
                <w:color w:val="000000"/>
              </w:rPr>
              <w:t>‘Travancore School is supporting me to continue my education’</w:t>
            </w:r>
          </w:p>
          <w:p w:rsidR="003972C4" w:rsidRDefault="002E0D05">
            <w:pPr>
              <w:rPr>
                <w:rFonts w:ascii="Arial" w:eastAsia="Arial" w:hAnsi="Arial" w:cs="Arial"/>
                <w:i/>
              </w:rPr>
            </w:pPr>
            <w:r>
              <w:rPr>
                <w:rFonts w:ascii="Arial" w:eastAsia="Arial" w:hAnsi="Arial" w:cs="Arial"/>
                <w:i/>
              </w:rPr>
              <w:t>‘Travancore teachers provide extra help and support to students</w:t>
            </w:r>
          </w:p>
          <w:p w:rsidR="003972C4" w:rsidRDefault="002E0D05">
            <w:pPr>
              <w:pBdr>
                <w:top w:val="nil"/>
                <w:left w:val="nil"/>
                <w:bottom w:val="nil"/>
                <w:right w:val="nil"/>
                <w:between w:val="nil"/>
              </w:pBdr>
              <w:tabs>
                <w:tab w:val="left" w:pos="205"/>
              </w:tabs>
              <w:rPr>
                <w:rFonts w:ascii="Arial" w:eastAsia="Arial" w:hAnsi="Arial" w:cs="Arial"/>
                <w:i/>
                <w:color w:val="000000"/>
              </w:rPr>
            </w:pPr>
            <w:r>
              <w:rPr>
                <w:rFonts w:ascii="Arial" w:eastAsia="Arial" w:hAnsi="Arial" w:cs="Arial"/>
                <w:i/>
                <w:color w:val="000000"/>
              </w:rPr>
              <w:t xml:space="preserve">    </w:t>
            </w:r>
            <w:proofErr w:type="gramStart"/>
            <w:r>
              <w:rPr>
                <w:rFonts w:ascii="Arial" w:eastAsia="Arial" w:hAnsi="Arial" w:cs="Arial"/>
                <w:i/>
                <w:color w:val="000000"/>
              </w:rPr>
              <w:t>who</w:t>
            </w:r>
            <w:proofErr w:type="gramEnd"/>
            <w:r>
              <w:rPr>
                <w:rFonts w:ascii="Arial" w:eastAsia="Arial" w:hAnsi="Arial" w:cs="Arial"/>
                <w:i/>
                <w:color w:val="000000"/>
              </w:rPr>
              <w:t xml:space="preserve"> need it’.</w:t>
            </w:r>
          </w:p>
          <w:p w:rsidR="003972C4" w:rsidRDefault="002E0D05">
            <w:pPr>
              <w:rPr>
                <w:rFonts w:ascii="Arial" w:eastAsia="Arial" w:hAnsi="Arial" w:cs="Arial"/>
                <w:i/>
              </w:rPr>
            </w:pPr>
            <w:r>
              <w:rPr>
                <w:rFonts w:ascii="Arial" w:eastAsia="Arial" w:hAnsi="Arial" w:cs="Arial"/>
              </w:rPr>
              <w:t>‘</w:t>
            </w:r>
            <w:r>
              <w:rPr>
                <w:rFonts w:ascii="Arial" w:eastAsia="Arial" w:hAnsi="Arial" w:cs="Arial"/>
                <w:i/>
              </w:rPr>
              <w:t>Travancore teachers support me to set learning goals”</w:t>
            </w:r>
          </w:p>
          <w:p w:rsidR="003972C4" w:rsidRDefault="003972C4">
            <w:pPr>
              <w:rPr>
                <w:rFonts w:ascii="Arial" w:eastAsia="Arial" w:hAnsi="Arial" w:cs="Arial"/>
                <w:highlight w:val="lightGray"/>
              </w:rPr>
            </w:pPr>
          </w:p>
          <w:p w:rsidR="003972C4" w:rsidRDefault="002E0D05">
            <w:pPr>
              <w:rPr>
                <w:rFonts w:ascii="Arial" w:eastAsia="Arial" w:hAnsi="Arial" w:cs="Arial"/>
              </w:rPr>
            </w:pPr>
            <w:r>
              <w:rPr>
                <w:rFonts w:ascii="Arial" w:eastAsia="Arial" w:hAnsi="Arial" w:cs="Arial"/>
              </w:rPr>
              <w:t>Case studies are analysed to elicit themes and outcome data</w:t>
            </w:r>
          </w:p>
        </w:tc>
      </w:tr>
      <w:tr w:rsidR="003972C4">
        <w:trPr>
          <w:trHeight w:val="420"/>
        </w:trPr>
        <w:tc>
          <w:tcPr>
            <w:tcW w:w="5246" w:type="dxa"/>
            <w:shd w:val="clear" w:color="auto" w:fill="auto"/>
          </w:tcPr>
          <w:p w:rsidR="003972C4" w:rsidRDefault="002E0D05">
            <w:pPr>
              <w:spacing w:before="120"/>
              <w:rPr>
                <w:rFonts w:ascii="Arial" w:eastAsia="Arial" w:hAnsi="Arial" w:cs="Arial"/>
                <w:b/>
              </w:rPr>
            </w:pPr>
            <w:r>
              <w:rPr>
                <w:rFonts w:ascii="Arial" w:eastAsia="Arial" w:hAnsi="Arial" w:cs="Arial"/>
              </w:rPr>
              <w:t>Improve student outcomes by building teacher practice</w:t>
            </w:r>
          </w:p>
        </w:tc>
        <w:tc>
          <w:tcPr>
            <w:tcW w:w="4111" w:type="dxa"/>
            <w:shd w:val="clear" w:color="auto" w:fill="auto"/>
          </w:tcPr>
          <w:p w:rsidR="003972C4" w:rsidRDefault="002E0D05">
            <w:pPr>
              <w:pBdr>
                <w:top w:val="nil"/>
                <w:left w:val="nil"/>
                <w:bottom w:val="nil"/>
                <w:right w:val="nil"/>
                <w:between w:val="nil"/>
              </w:pBdr>
              <w:tabs>
                <w:tab w:val="left" w:pos="205"/>
              </w:tabs>
              <w:rPr>
                <w:rFonts w:ascii="Arial" w:eastAsia="Arial" w:hAnsi="Arial" w:cs="Arial"/>
                <w:b/>
                <w:color w:val="000000"/>
              </w:rPr>
            </w:pPr>
            <w:r>
              <w:rPr>
                <w:rFonts w:ascii="Arial" w:eastAsia="Arial" w:hAnsi="Arial" w:cs="Arial"/>
                <w:b/>
                <w:color w:val="000000"/>
              </w:rPr>
              <w:t xml:space="preserve">Excellence in Teaching and Learning </w:t>
            </w:r>
          </w:p>
          <w:p w:rsidR="003972C4" w:rsidRDefault="002E0D05">
            <w:pPr>
              <w:numPr>
                <w:ilvl w:val="0"/>
                <w:numId w:val="7"/>
              </w:numPr>
              <w:pBdr>
                <w:top w:val="nil"/>
                <w:left w:val="nil"/>
                <w:bottom w:val="nil"/>
                <w:right w:val="nil"/>
                <w:between w:val="nil"/>
              </w:pBdr>
              <w:tabs>
                <w:tab w:val="left" w:pos="205"/>
              </w:tabs>
              <w:ind w:hanging="544"/>
              <w:rPr>
                <w:b/>
                <w:i/>
                <w:color w:val="000000"/>
              </w:rPr>
            </w:pPr>
            <w:r>
              <w:rPr>
                <w:rFonts w:ascii="Arial" w:eastAsia="Arial" w:hAnsi="Arial" w:cs="Arial"/>
                <w:b/>
                <w:i/>
                <w:color w:val="000000"/>
              </w:rPr>
              <w:t>Building practice excellence</w:t>
            </w:r>
          </w:p>
          <w:p w:rsidR="003972C4" w:rsidRDefault="003972C4">
            <w:pPr>
              <w:spacing w:before="120"/>
              <w:rPr>
                <w:rFonts w:ascii="Arial" w:eastAsia="Arial" w:hAnsi="Arial" w:cs="Arial"/>
                <w:b/>
              </w:rPr>
            </w:pPr>
          </w:p>
        </w:tc>
        <w:tc>
          <w:tcPr>
            <w:tcW w:w="6615" w:type="dxa"/>
            <w:shd w:val="clear" w:color="auto" w:fill="auto"/>
          </w:tcPr>
          <w:p w:rsidR="003972C4" w:rsidRDefault="003972C4">
            <w:pPr>
              <w:pBdr>
                <w:top w:val="nil"/>
                <w:left w:val="nil"/>
                <w:bottom w:val="nil"/>
                <w:right w:val="nil"/>
                <w:between w:val="nil"/>
              </w:pBdr>
              <w:tabs>
                <w:tab w:val="left" w:pos="205"/>
              </w:tabs>
              <w:ind w:left="565"/>
              <w:rPr>
                <w:rFonts w:ascii="Arial" w:eastAsia="Arial" w:hAnsi="Arial" w:cs="Arial"/>
                <w:color w:val="000000"/>
              </w:rPr>
            </w:pPr>
          </w:p>
          <w:p w:rsidR="003972C4" w:rsidRDefault="003972C4">
            <w:pPr>
              <w:pBdr>
                <w:top w:val="nil"/>
                <w:left w:val="nil"/>
                <w:bottom w:val="nil"/>
                <w:right w:val="nil"/>
                <w:between w:val="nil"/>
              </w:pBdr>
              <w:tabs>
                <w:tab w:val="left" w:pos="205"/>
              </w:tabs>
              <w:rPr>
                <w:rFonts w:ascii="Arial" w:eastAsia="Arial" w:hAnsi="Arial" w:cs="Arial"/>
                <w:color w:val="000000"/>
              </w:rPr>
            </w:pPr>
          </w:p>
          <w:p w:rsidR="003972C4" w:rsidRDefault="002E0D05">
            <w:pPr>
              <w:numPr>
                <w:ilvl w:val="0"/>
                <w:numId w:val="7"/>
              </w:numPr>
              <w:pBdr>
                <w:top w:val="nil"/>
                <w:left w:val="nil"/>
                <w:bottom w:val="nil"/>
                <w:right w:val="nil"/>
                <w:between w:val="nil"/>
              </w:pBdr>
              <w:tabs>
                <w:tab w:val="left" w:pos="205"/>
              </w:tabs>
              <w:rPr>
                <w:color w:val="000000"/>
              </w:rPr>
            </w:pPr>
            <w:r>
              <w:rPr>
                <w:rFonts w:ascii="Arial" w:eastAsia="Arial" w:hAnsi="Arial" w:cs="Arial"/>
                <w:color w:val="000000"/>
              </w:rPr>
              <w:t>Develop and strengthen teaching practices and evidence based approaches.</w:t>
            </w:r>
          </w:p>
          <w:p w:rsidR="003972C4" w:rsidRDefault="003972C4">
            <w:pPr>
              <w:pBdr>
                <w:top w:val="nil"/>
                <w:left w:val="nil"/>
                <w:bottom w:val="nil"/>
                <w:right w:val="nil"/>
                <w:between w:val="nil"/>
              </w:pBdr>
              <w:tabs>
                <w:tab w:val="left" w:pos="205"/>
              </w:tabs>
              <w:ind w:left="720"/>
              <w:rPr>
                <w:rFonts w:ascii="Arial" w:eastAsia="Arial" w:hAnsi="Arial" w:cs="Arial"/>
                <w:color w:val="000000"/>
              </w:rPr>
            </w:pPr>
          </w:p>
          <w:p w:rsidR="003972C4" w:rsidRDefault="002E0D05">
            <w:pPr>
              <w:numPr>
                <w:ilvl w:val="0"/>
                <w:numId w:val="7"/>
              </w:numPr>
              <w:pBdr>
                <w:top w:val="nil"/>
                <w:left w:val="nil"/>
                <w:bottom w:val="nil"/>
                <w:right w:val="nil"/>
                <w:between w:val="nil"/>
              </w:pBdr>
              <w:tabs>
                <w:tab w:val="left" w:pos="205"/>
              </w:tabs>
              <w:rPr>
                <w:color w:val="000000"/>
              </w:rPr>
            </w:pPr>
            <w:r>
              <w:rPr>
                <w:rFonts w:ascii="Arial" w:eastAsia="Arial" w:hAnsi="Arial" w:cs="Arial"/>
                <w:color w:val="000000"/>
              </w:rPr>
              <w:t>Embed systems for teacher collaboration, classroom observation and effective feedback</w:t>
            </w:r>
          </w:p>
          <w:p w:rsidR="003972C4" w:rsidRDefault="003972C4">
            <w:pPr>
              <w:pBdr>
                <w:top w:val="nil"/>
                <w:left w:val="nil"/>
                <w:bottom w:val="nil"/>
                <w:right w:val="nil"/>
                <w:between w:val="nil"/>
              </w:pBdr>
              <w:tabs>
                <w:tab w:val="left" w:pos="205"/>
              </w:tabs>
              <w:rPr>
                <w:rFonts w:ascii="Arial" w:eastAsia="Arial" w:hAnsi="Arial" w:cs="Arial"/>
                <w:color w:val="000000"/>
              </w:rPr>
            </w:pPr>
          </w:p>
          <w:p w:rsidR="003972C4" w:rsidRDefault="003972C4">
            <w:pPr>
              <w:pBdr>
                <w:top w:val="nil"/>
                <w:left w:val="nil"/>
                <w:bottom w:val="nil"/>
                <w:right w:val="nil"/>
                <w:between w:val="nil"/>
              </w:pBdr>
              <w:tabs>
                <w:tab w:val="left" w:pos="205"/>
              </w:tabs>
              <w:ind w:left="565"/>
              <w:rPr>
                <w:rFonts w:ascii="Arial" w:eastAsia="Arial" w:hAnsi="Arial" w:cs="Arial"/>
                <w:color w:val="000000"/>
              </w:rPr>
            </w:pPr>
          </w:p>
          <w:p w:rsidR="003972C4" w:rsidRDefault="003972C4">
            <w:pPr>
              <w:pBdr>
                <w:top w:val="nil"/>
                <w:left w:val="nil"/>
                <w:bottom w:val="nil"/>
                <w:right w:val="nil"/>
                <w:between w:val="nil"/>
              </w:pBdr>
              <w:tabs>
                <w:tab w:val="left" w:pos="205"/>
              </w:tabs>
              <w:ind w:left="565"/>
              <w:rPr>
                <w:rFonts w:ascii="Arial" w:eastAsia="Arial" w:hAnsi="Arial" w:cs="Arial"/>
                <w:color w:val="000000"/>
              </w:rPr>
            </w:pPr>
          </w:p>
        </w:tc>
        <w:tc>
          <w:tcPr>
            <w:tcW w:w="6615" w:type="dxa"/>
            <w:shd w:val="clear" w:color="auto" w:fill="auto"/>
          </w:tcPr>
          <w:p w:rsidR="003972C4" w:rsidRDefault="002E0D05">
            <w:pPr>
              <w:pBdr>
                <w:top w:val="nil"/>
                <w:left w:val="nil"/>
                <w:bottom w:val="nil"/>
                <w:right w:val="nil"/>
                <w:between w:val="nil"/>
              </w:pBdr>
              <w:tabs>
                <w:tab w:val="left" w:pos="205"/>
              </w:tabs>
              <w:rPr>
                <w:rFonts w:ascii="Arial" w:eastAsia="Arial" w:hAnsi="Arial" w:cs="Arial"/>
                <w:color w:val="000000"/>
              </w:rPr>
            </w:pPr>
            <w:r>
              <w:rPr>
                <w:rFonts w:ascii="Arial" w:eastAsia="Arial" w:hAnsi="Arial" w:cs="Arial"/>
                <w:color w:val="000000"/>
              </w:rPr>
              <w:t>The school staff survey professional learning summary of module component means whole school will increase from:</w:t>
            </w:r>
          </w:p>
          <w:p w:rsidR="003972C4" w:rsidRDefault="002E0D05">
            <w:pPr>
              <w:numPr>
                <w:ilvl w:val="0"/>
                <w:numId w:val="5"/>
              </w:numPr>
              <w:pBdr>
                <w:top w:val="nil"/>
                <w:left w:val="nil"/>
                <w:bottom w:val="nil"/>
                <w:right w:val="nil"/>
                <w:between w:val="nil"/>
              </w:pBdr>
              <w:contextualSpacing/>
              <w:rPr>
                <w:color w:val="000000"/>
              </w:rPr>
            </w:pPr>
            <w:r>
              <w:rPr>
                <w:rFonts w:ascii="Arial" w:eastAsia="Arial" w:hAnsi="Arial" w:cs="Arial"/>
                <w:color w:val="000000"/>
              </w:rPr>
              <w:t>Active participation 75% to 90 %</w:t>
            </w:r>
          </w:p>
          <w:p w:rsidR="003972C4" w:rsidRDefault="002E0D05">
            <w:pPr>
              <w:numPr>
                <w:ilvl w:val="0"/>
                <w:numId w:val="5"/>
              </w:numPr>
              <w:pBdr>
                <w:top w:val="nil"/>
                <w:left w:val="nil"/>
                <w:bottom w:val="nil"/>
                <w:right w:val="nil"/>
                <w:between w:val="nil"/>
              </w:pBdr>
              <w:contextualSpacing/>
              <w:rPr>
                <w:color w:val="000000"/>
              </w:rPr>
            </w:pPr>
            <w:r>
              <w:rPr>
                <w:rFonts w:ascii="Arial" w:eastAsia="Arial" w:hAnsi="Arial" w:cs="Arial"/>
                <w:color w:val="000000"/>
              </w:rPr>
              <w:t>Overall endorsement 92% to 95%</w:t>
            </w:r>
          </w:p>
          <w:p w:rsidR="003972C4" w:rsidRDefault="002E0D05">
            <w:pPr>
              <w:numPr>
                <w:ilvl w:val="0"/>
                <w:numId w:val="5"/>
              </w:numPr>
              <w:pBdr>
                <w:top w:val="nil"/>
                <w:left w:val="nil"/>
                <w:bottom w:val="nil"/>
                <w:right w:val="nil"/>
                <w:between w:val="nil"/>
              </w:pBdr>
              <w:spacing w:after="200"/>
              <w:contextualSpacing/>
              <w:rPr>
                <w:color w:val="000000"/>
              </w:rPr>
            </w:pPr>
            <w:r>
              <w:rPr>
                <w:rFonts w:ascii="Arial" w:eastAsia="Arial" w:hAnsi="Arial" w:cs="Arial"/>
                <w:color w:val="000000"/>
              </w:rPr>
              <w:t>Feedback is seen as crucial to the professional learning process 87% to 90%</w:t>
            </w:r>
          </w:p>
          <w:p w:rsidR="003972C4" w:rsidRDefault="002E0D05">
            <w:pPr>
              <w:pBdr>
                <w:top w:val="nil"/>
                <w:left w:val="nil"/>
                <w:bottom w:val="nil"/>
                <w:right w:val="nil"/>
                <w:between w:val="nil"/>
              </w:pBdr>
              <w:tabs>
                <w:tab w:val="left" w:pos="205"/>
              </w:tabs>
              <w:rPr>
                <w:rFonts w:ascii="Arial" w:eastAsia="Arial" w:hAnsi="Arial" w:cs="Arial"/>
                <w:color w:val="000000"/>
              </w:rPr>
            </w:pPr>
            <w:r>
              <w:rPr>
                <w:rFonts w:ascii="Arial" w:eastAsia="Arial" w:hAnsi="Arial" w:cs="Arial"/>
                <w:color w:val="000000"/>
              </w:rPr>
              <w:t>Student survey will show an increase in the number of students who agree or strongly agree that:</w:t>
            </w:r>
          </w:p>
          <w:p w:rsidR="003972C4" w:rsidRDefault="002E0D05">
            <w:pPr>
              <w:pBdr>
                <w:top w:val="nil"/>
                <w:left w:val="nil"/>
                <w:bottom w:val="nil"/>
                <w:right w:val="nil"/>
                <w:between w:val="nil"/>
              </w:pBdr>
              <w:tabs>
                <w:tab w:val="left" w:pos="205"/>
              </w:tabs>
              <w:rPr>
                <w:rFonts w:ascii="Arial" w:eastAsia="Arial" w:hAnsi="Arial" w:cs="Arial"/>
                <w:i/>
                <w:color w:val="000000"/>
              </w:rPr>
            </w:pPr>
            <w:r>
              <w:rPr>
                <w:rFonts w:ascii="Arial" w:eastAsia="Arial" w:hAnsi="Arial" w:cs="Arial"/>
                <w:i/>
                <w:color w:val="000000"/>
              </w:rPr>
              <w:t>‘Travancore teachers tell us what we are learning and why.’</w:t>
            </w:r>
          </w:p>
          <w:p w:rsidR="003972C4" w:rsidRDefault="002E0D05">
            <w:pPr>
              <w:pBdr>
                <w:top w:val="nil"/>
                <w:left w:val="nil"/>
                <w:bottom w:val="nil"/>
                <w:right w:val="nil"/>
                <w:between w:val="nil"/>
              </w:pBdr>
              <w:tabs>
                <w:tab w:val="left" w:pos="205"/>
              </w:tabs>
              <w:rPr>
                <w:rFonts w:ascii="Arial" w:eastAsia="Arial" w:hAnsi="Arial" w:cs="Arial"/>
                <w:i/>
                <w:color w:val="000000"/>
              </w:rPr>
            </w:pPr>
            <w:r>
              <w:rPr>
                <w:rFonts w:ascii="Arial" w:eastAsia="Arial" w:hAnsi="Arial" w:cs="Arial"/>
                <w:i/>
                <w:color w:val="000000"/>
              </w:rPr>
              <w:t xml:space="preserve">    (85 to 90%)</w:t>
            </w:r>
          </w:p>
          <w:p w:rsidR="003972C4" w:rsidRDefault="002E0D05">
            <w:pPr>
              <w:rPr>
                <w:rFonts w:ascii="Arial" w:eastAsia="Arial" w:hAnsi="Arial" w:cs="Arial"/>
                <w:i/>
              </w:rPr>
            </w:pPr>
            <w:r>
              <w:rPr>
                <w:rFonts w:ascii="Arial" w:eastAsia="Arial" w:hAnsi="Arial" w:cs="Arial"/>
                <w:i/>
              </w:rPr>
              <w:t xml:space="preserve">‘Travancore teachers give me feedback about my participation </w:t>
            </w:r>
          </w:p>
          <w:p w:rsidR="003972C4" w:rsidRDefault="002E0D05">
            <w:pPr>
              <w:rPr>
                <w:rFonts w:ascii="Arial" w:eastAsia="Arial" w:hAnsi="Arial" w:cs="Arial"/>
                <w:i/>
              </w:rPr>
            </w:pPr>
            <w:r>
              <w:rPr>
                <w:rFonts w:ascii="Arial" w:eastAsia="Arial" w:hAnsi="Arial" w:cs="Arial"/>
                <w:i/>
              </w:rPr>
              <w:t xml:space="preserve">    </w:t>
            </w:r>
            <w:proofErr w:type="gramStart"/>
            <w:r>
              <w:rPr>
                <w:rFonts w:ascii="Arial" w:eastAsia="Arial" w:hAnsi="Arial" w:cs="Arial"/>
                <w:i/>
              </w:rPr>
              <w:t>and</w:t>
            </w:r>
            <w:proofErr w:type="gramEnd"/>
            <w:r>
              <w:rPr>
                <w:rFonts w:ascii="Arial" w:eastAsia="Arial" w:hAnsi="Arial" w:cs="Arial"/>
                <w:i/>
              </w:rPr>
              <w:t xml:space="preserve"> work, (80 to 85%)</w:t>
            </w:r>
          </w:p>
          <w:p w:rsidR="003972C4" w:rsidRDefault="003972C4">
            <w:pPr>
              <w:rPr>
                <w:rFonts w:ascii="Arial" w:eastAsia="Arial" w:hAnsi="Arial" w:cs="Arial"/>
                <w:i/>
              </w:rPr>
            </w:pPr>
          </w:p>
          <w:p w:rsidR="003972C4" w:rsidRDefault="002E0D05">
            <w:pPr>
              <w:rPr>
                <w:rFonts w:ascii="Arial" w:eastAsia="Arial" w:hAnsi="Arial" w:cs="Arial"/>
              </w:rPr>
            </w:pPr>
            <w:r>
              <w:rPr>
                <w:rFonts w:ascii="Arial" w:eastAsia="Arial" w:hAnsi="Arial" w:cs="Arial"/>
              </w:rPr>
              <w:t>Case studies are compiled to describe and develop teacher practice.</w:t>
            </w:r>
          </w:p>
        </w:tc>
      </w:tr>
      <w:tr w:rsidR="003972C4">
        <w:trPr>
          <w:trHeight w:val="120"/>
        </w:trPr>
        <w:tc>
          <w:tcPr>
            <w:tcW w:w="5246" w:type="dxa"/>
            <w:shd w:val="clear" w:color="auto" w:fill="auto"/>
          </w:tcPr>
          <w:p w:rsidR="003972C4" w:rsidRDefault="002E0D05">
            <w:pPr>
              <w:rPr>
                <w:rFonts w:ascii="Arial" w:eastAsia="Arial" w:hAnsi="Arial" w:cs="Arial"/>
              </w:rPr>
            </w:pPr>
            <w:r>
              <w:rPr>
                <w:rFonts w:ascii="Arial" w:eastAsia="Arial" w:hAnsi="Arial" w:cs="Arial"/>
              </w:rPr>
              <w:t>Improve student health and wellbeing outcomes at Travancore school</w:t>
            </w:r>
          </w:p>
          <w:p w:rsidR="003972C4" w:rsidRDefault="003972C4">
            <w:pPr>
              <w:rPr>
                <w:rFonts w:ascii="Arial" w:eastAsia="Arial" w:hAnsi="Arial" w:cs="Arial"/>
              </w:rPr>
            </w:pPr>
          </w:p>
        </w:tc>
        <w:tc>
          <w:tcPr>
            <w:tcW w:w="4111" w:type="dxa"/>
            <w:shd w:val="clear" w:color="auto" w:fill="auto"/>
          </w:tcPr>
          <w:p w:rsidR="003972C4" w:rsidRDefault="002E0D05">
            <w:pPr>
              <w:rPr>
                <w:rFonts w:ascii="Arial" w:eastAsia="Arial" w:hAnsi="Arial" w:cs="Arial"/>
                <w:b/>
              </w:rPr>
            </w:pPr>
            <w:r>
              <w:rPr>
                <w:rFonts w:ascii="Arial" w:eastAsia="Arial" w:hAnsi="Arial" w:cs="Arial"/>
                <w:b/>
              </w:rPr>
              <w:t>Positive climate for learning-</w:t>
            </w:r>
          </w:p>
          <w:p w:rsidR="003972C4" w:rsidRDefault="002E0D05">
            <w:pPr>
              <w:numPr>
                <w:ilvl w:val="0"/>
                <w:numId w:val="8"/>
              </w:numPr>
              <w:pBdr>
                <w:top w:val="nil"/>
                <w:left w:val="nil"/>
                <w:bottom w:val="nil"/>
                <w:right w:val="nil"/>
                <w:between w:val="nil"/>
              </w:pBdr>
              <w:contextualSpacing/>
              <w:rPr>
                <w:b/>
                <w:i/>
                <w:color w:val="000000"/>
              </w:rPr>
            </w:pPr>
            <w:r>
              <w:rPr>
                <w:rFonts w:ascii="Arial" w:eastAsia="Arial" w:hAnsi="Arial" w:cs="Arial"/>
                <w:b/>
                <w:i/>
                <w:color w:val="000000"/>
              </w:rPr>
              <w:t>Health and Wellbeing</w:t>
            </w:r>
          </w:p>
          <w:p w:rsidR="003972C4" w:rsidRDefault="003972C4">
            <w:pPr>
              <w:rPr>
                <w:rFonts w:ascii="Arial" w:eastAsia="Arial" w:hAnsi="Arial" w:cs="Arial"/>
                <w:b/>
                <w:i/>
                <w:color w:val="FF0000"/>
              </w:rPr>
            </w:pPr>
          </w:p>
          <w:p w:rsidR="003972C4" w:rsidRDefault="003972C4">
            <w:pPr>
              <w:pBdr>
                <w:top w:val="nil"/>
                <w:left w:val="nil"/>
                <w:bottom w:val="nil"/>
                <w:right w:val="nil"/>
                <w:between w:val="nil"/>
              </w:pBdr>
              <w:ind w:left="720" w:hanging="720"/>
              <w:rPr>
                <w:rFonts w:ascii="Arial" w:eastAsia="Arial" w:hAnsi="Arial" w:cs="Arial"/>
                <w:b/>
                <w:color w:val="000000"/>
              </w:rPr>
            </w:pPr>
          </w:p>
        </w:tc>
        <w:tc>
          <w:tcPr>
            <w:tcW w:w="6615" w:type="dxa"/>
            <w:shd w:val="clear" w:color="auto" w:fill="auto"/>
          </w:tcPr>
          <w:p w:rsidR="003972C4" w:rsidRDefault="003972C4">
            <w:pPr>
              <w:pBdr>
                <w:top w:val="nil"/>
                <w:left w:val="nil"/>
                <w:bottom w:val="nil"/>
                <w:right w:val="nil"/>
                <w:between w:val="nil"/>
              </w:pBdr>
              <w:tabs>
                <w:tab w:val="left" w:pos="205"/>
              </w:tabs>
              <w:rPr>
                <w:rFonts w:ascii="Arial" w:eastAsia="Arial" w:hAnsi="Arial" w:cs="Arial"/>
                <w:color w:val="000000"/>
              </w:rPr>
            </w:pPr>
          </w:p>
          <w:p w:rsidR="003972C4" w:rsidRDefault="003972C4">
            <w:pPr>
              <w:pBdr>
                <w:top w:val="nil"/>
                <w:left w:val="nil"/>
                <w:bottom w:val="nil"/>
                <w:right w:val="nil"/>
                <w:between w:val="nil"/>
              </w:pBdr>
              <w:tabs>
                <w:tab w:val="left" w:pos="205"/>
              </w:tabs>
              <w:rPr>
                <w:rFonts w:ascii="Arial" w:eastAsia="Arial" w:hAnsi="Arial" w:cs="Arial"/>
                <w:color w:val="000000"/>
              </w:rPr>
            </w:pPr>
          </w:p>
          <w:p w:rsidR="003972C4" w:rsidRDefault="002E0D05">
            <w:pPr>
              <w:numPr>
                <w:ilvl w:val="0"/>
                <w:numId w:val="8"/>
              </w:numPr>
              <w:pBdr>
                <w:top w:val="nil"/>
                <w:left w:val="nil"/>
                <w:bottom w:val="nil"/>
                <w:right w:val="nil"/>
                <w:between w:val="nil"/>
              </w:pBdr>
              <w:tabs>
                <w:tab w:val="left" w:pos="205"/>
              </w:tabs>
              <w:rPr>
                <w:color w:val="000000"/>
              </w:rPr>
            </w:pPr>
            <w:r>
              <w:rPr>
                <w:rFonts w:ascii="Arial" w:eastAsia="Arial" w:hAnsi="Arial" w:cs="Arial"/>
                <w:color w:val="000000"/>
              </w:rPr>
              <w:t>Implement evidence based curriculum programs to develop the health and wellbeing of students across Travancore teams</w:t>
            </w:r>
          </w:p>
          <w:p w:rsidR="003972C4" w:rsidRDefault="003972C4">
            <w:pPr>
              <w:pBdr>
                <w:top w:val="nil"/>
                <w:left w:val="nil"/>
                <w:bottom w:val="nil"/>
                <w:right w:val="nil"/>
                <w:between w:val="nil"/>
              </w:pBdr>
              <w:tabs>
                <w:tab w:val="left" w:pos="205"/>
              </w:tabs>
              <w:ind w:left="720"/>
              <w:rPr>
                <w:rFonts w:ascii="Arial" w:eastAsia="Arial" w:hAnsi="Arial" w:cs="Arial"/>
                <w:color w:val="000000"/>
              </w:rPr>
            </w:pPr>
          </w:p>
        </w:tc>
        <w:tc>
          <w:tcPr>
            <w:tcW w:w="6615" w:type="dxa"/>
            <w:shd w:val="clear" w:color="auto" w:fill="auto"/>
          </w:tcPr>
          <w:p w:rsidR="003972C4" w:rsidRDefault="003972C4">
            <w:pPr>
              <w:pBdr>
                <w:top w:val="nil"/>
                <w:left w:val="nil"/>
                <w:bottom w:val="nil"/>
                <w:right w:val="nil"/>
                <w:between w:val="nil"/>
              </w:pBdr>
              <w:tabs>
                <w:tab w:val="left" w:pos="205"/>
              </w:tabs>
              <w:rPr>
                <w:rFonts w:ascii="Arial" w:eastAsia="Arial" w:hAnsi="Arial" w:cs="Arial"/>
                <w:color w:val="000000"/>
              </w:rPr>
            </w:pPr>
          </w:p>
          <w:p w:rsidR="003972C4" w:rsidRDefault="002E0D05">
            <w:pPr>
              <w:pBdr>
                <w:top w:val="nil"/>
                <w:left w:val="nil"/>
                <w:bottom w:val="nil"/>
                <w:right w:val="nil"/>
                <w:between w:val="nil"/>
              </w:pBdr>
              <w:tabs>
                <w:tab w:val="left" w:pos="205"/>
              </w:tabs>
              <w:rPr>
                <w:rFonts w:ascii="Arial" w:eastAsia="Arial" w:hAnsi="Arial" w:cs="Arial"/>
                <w:color w:val="000000"/>
              </w:rPr>
            </w:pPr>
            <w:r>
              <w:rPr>
                <w:rFonts w:ascii="Arial" w:eastAsia="Arial" w:hAnsi="Arial" w:cs="Arial"/>
                <w:color w:val="000000"/>
              </w:rPr>
              <w:t>Student Survey responses to the following statements indicating agree or strongly agree will increase:</w:t>
            </w:r>
          </w:p>
          <w:p w:rsidR="003972C4" w:rsidRDefault="002E0D05">
            <w:pPr>
              <w:pBdr>
                <w:top w:val="nil"/>
                <w:left w:val="nil"/>
                <w:bottom w:val="nil"/>
                <w:right w:val="nil"/>
                <w:between w:val="nil"/>
              </w:pBdr>
              <w:tabs>
                <w:tab w:val="left" w:pos="205"/>
              </w:tabs>
              <w:rPr>
                <w:rFonts w:ascii="Arial" w:eastAsia="Arial" w:hAnsi="Arial" w:cs="Arial"/>
                <w:i/>
                <w:color w:val="000000"/>
              </w:rPr>
            </w:pPr>
            <w:r>
              <w:rPr>
                <w:rFonts w:ascii="Arial" w:eastAsia="Arial" w:hAnsi="Arial" w:cs="Arial"/>
                <w:i/>
                <w:color w:val="000000"/>
              </w:rPr>
              <w:t>‘Travancore School is a safe learning environment’ (to 90%)</w:t>
            </w:r>
          </w:p>
          <w:p w:rsidR="003972C4" w:rsidRDefault="002E0D05">
            <w:pPr>
              <w:pBdr>
                <w:top w:val="nil"/>
                <w:left w:val="nil"/>
                <w:bottom w:val="nil"/>
                <w:right w:val="nil"/>
                <w:between w:val="nil"/>
              </w:pBdr>
              <w:tabs>
                <w:tab w:val="left" w:pos="205"/>
              </w:tabs>
              <w:rPr>
                <w:rFonts w:ascii="Arial" w:eastAsia="Arial" w:hAnsi="Arial" w:cs="Arial"/>
                <w:i/>
                <w:color w:val="000000"/>
              </w:rPr>
            </w:pPr>
            <w:r>
              <w:rPr>
                <w:rFonts w:ascii="Arial" w:eastAsia="Arial" w:hAnsi="Arial" w:cs="Arial"/>
                <w:i/>
                <w:color w:val="000000"/>
              </w:rPr>
              <w:t>‘Travancore teachers help me to build relationships with others’</w:t>
            </w:r>
          </w:p>
          <w:p w:rsidR="003972C4" w:rsidRDefault="002E0D05">
            <w:pPr>
              <w:pBdr>
                <w:top w:val="nil"/>
                <w:left w:val="nil"/>
                <w:bottom w:val="nil"/>
                <w:right w:val="nil"/>
                <w:between w:val="nil"/>
              </w:pBdr>
              <w:tabs>
                <w:tab w:val="left" w:pos="205"/>
              </w:tabs>
              <w:rPr>
                <w:rFonts w:ascii="Arial" w:eastAsia="Arial" w:hAnsi="Arial" w:cs="Arial"/>
                <w:i/>
                <w:color w:val="000000"/>
              </w:rPr>
            </w:pPr>
            <w:r>
              <w:rPr>
                <w:rFonts w:ascii="Arial" w:eastAsia="Arial" w:hAnsi="Arial" w:cs="Arial"/>
                <w:i/>
                <w:color w:val="000000"/>
              </w:rPr>
              <w:t>.   (</w:t>
            </w:r>
            <w:proofErr w:type="gramStart"/>
            <w:r>
              <w:rPr>
                <w:rFonts w:ascii="Arial" w:eastAsia="Arial" w:hAnsi="Arial" w:cs="Arial"/>
                <w:i/>
                <w:color w:val="000000"/>
              </w:rPr>
              <w:t>to</w:t>
            </w:r>
            <w:proofErr w:type="gramEnd"/>
            <w:r>
              <w:rPr>
                <w:rFonts w:ascii="Arial" w:eastAsia="Arial" w:hAnsi="Arial" w:cs="Arial"/>
                <w:i/>
                <w:color w:val="000000"/>
              </w:rPr>
              <w:t xml:space="preserve"> 80%)</w:t>
            </w:r>
          </w:p>
          <w:p w:rsidR="003972C4" w:rsidRDefault="002E0D05">
            <w:pPr>
              <w:pBdr>
                <w:top w:val="nil"/>
                <w:left w:val="nil"/>
                <w:bottom w:val="nil"/>
                <w:right w:val="nil"/>
                <w:between w:val="nil"/>
              </w:pBdr>
              <w:tabs>
                <w:tab w:val="left" w:pos="205"/>
              </w:tabs>
              <w:rPr>
                <w:rFonts w:ascii="Arial" w:eastAsia="Arial" w:hAnsi="Arial" w:cs="Arial"/>
                <w:i/>
                <w:color w:val="000000"/>
              </w:rPr>
            </w:pPr>
            <w:r>
              <w:rPr>
                <w:rFonts w:ascii="Arial" w:eastAsia="Arial" w:hAnsi="Arial" w:cs="Arial"/>
                <w:i/>
                <w:color w:val="000000"/>
              </w:rPr>
              <w:t xml:space="preserve">‘There is a teacher at Travancore school who believes I can be </w:t>
            </w:r>
          </w:p>
          <w:p w:rsidR="003972C4" w:rsidRDefault="002E0D05">
            <w:pPr>
              <w:pBdr>
                <w:top w:val="nil"/>
                <w:left w:val="nil"/>
                <w:bottom w:val="nil"/>
                <w:right w:val="nil"/>
                <w:between w:val="nil"/>
              </w:pBdr>
              <w:tabs>
                <w:tab w:val="left" w:pos="205"/>
              </w:tabs>
              <w:rPr>
                <w:rFonts w:ascii="Arial" w:eastAsia="Arial" w:hAnsi="Arial" w:cs="Arial"/>
                <w:i/>
                <w:color w:val="000000"/>
              </w:rPr>
            </w:pPr>
            <w:r>
              <w:rPr>
                <w:rFonts w:ascii="Arial" w:eastAsia="Arial" w:hAnsi="Arial" w:cs="Arial"/>
                <w:i/>
                <w:color w:val="000000"/>
              </w:rPr>
              <w:t xml:space="preserve">    </w:t>
            </w:r>
            <w:proofErr w:type="gramStart"/>
            <w:r>
              <w:rPr>
                <w:rFonts w:ascii="Arial" w:eastAsia="Arial" w:hAnsi="Arial" w:cs="Arial"/>
                <w:i/>
                <w:color w:val="000000"/>
              </w:rPr>
              <w:t>successful</w:t>
            </w:r>
            <w:proofErr w:type="gramEnd"/>
            <w:r>
              <w:rPr>
                <w:rFonts w:ascii="Arial" w:eastAsia="Arial" w:hAnsi="Arial" w:cs="Arial"/>
                <w:i/>
                <w:color w:val="000000"/>
              </w:rPr>
              <w:t>” (to 90%)</w:t>
            </w:r>
          </w:p>
          <w:p w:rsidR="003972C4" w:rsidRDefault="002E0D05">
            <w:pPr>
              <w:pBdr>
                <w:top w:val="nil"/>
                <w:left w:val="nil"/>
                <w:bottom w:val="nil"/>
                <w:right w:val="nil"/>
                <w:between w:val="nil"/>
              </w:pBdr>
              <w:tabs>
                <w:tab w:val="left" w:pos="205"/>
              </w:tabs>
              <w:rPr>
                <w:rFonts w:ascii="Arial" w:eastAsia="Arial" w:hAnsi="Arial" w:cs="Arial"/>
                <w:i/>
                <w:color w:val="000000"/>
              </w:rPr>
            </w:pPr>
            <w:r>
              <w:rPr>
                <w:rFonts w:ascii="Arial" w:eastAsia="Arial" w:hAnsi="Arial" w:cs="Arial"/>
                <w:i/>
                <w:color w:val="000000"/>
              </w:rPr>
              <w:t xml:space="preserve">‘Travancore teachers encourage and expect me to do my best’ </w:t>
            </w:r>
          </w:p>
          <w:p w:rsidR="003972C4" w:rsidRDefault="002E0D05">
            <w:pPr>
              <w:pBdr>
                <w:top w:val="nil"/>
                <w:left w:val="nil"/>
                <w:bottom w:val="nil"/>
                <w:right w:val="nil"/>
                <w:between w:val="nil"/>
              </w:pBdr>
              <w:tabs>
                <w:tab w:val="left" w:pos="205"/>
              </w:tabs>
              <w:rPr>
                <w:rFonts w:ascii="Arial" w:eastAsia="Arial" w:hAnsi="Arial" w:cs="Arial"/>
                <w:i/>
                <w:color w:val="000000"/>
              </w:rPr>
            </w:pPr>
            <w:r>
              <w:rPr>
                <w:rFonts w:ascii="Arial" w:eastAsia="Arial" w:hAnsi="Arial" w:cs="Arial"/>
                <w:i/>
                <w:color w:val="000000"/>
              </w:rPr>
              <w:t xml:space="preserve">    (</w:t>
            </w:r>
            <w:proofErr w:type="gramStart"/>
            <w:r>
              <w:rPr>
                <w:rFonts w:ascii="Arial" w:eastAsia="Arial" w:hAnsi="Arial" w:cs="Arial"/>
                <w:i/>
                <w:color w:val="000000"/>
              </w:rPr>
              <w:t>to</w:t>
            </w:r>
            <w:proofErr w:type="gramEnd"/>
            <w:r>
              <w:rPr>
                <w:rFonts w:ascii="Arial" w:eastAsia="Arial" w:hAnsi="Arial" w:cs="Arial"/>
                <w:i/>
                <w:color w:val="000000"/>
              </w:rPr>
              <w:t xml:space="preserve"> 95%)</w:t>
            </w:r>
          </w:p>
          <w:p w:rsidR="003972C4" w:rsidRDefault="003972C4">
            <w:pPr>
              <w:pBdr>
                <w:top w:val="nil"/>
                <w:left w:val="nil"/>
                <w:bottom w:val="nil"/>
                <w:right w:val="nil"/>
                <w:between w:val="nil"/>
              </w:pBdr>
              <w:tabs>
                <w:tab w:val="left" w:pos="205"/>
              </w:tabs>
              <w:rPr>
                <w:rFonts w:ascii="Arial" w:eastAsia="Arial" w:hAnsi="Arial" w:cs="Arial"/>
                <w:i/>
                <w:color w:val="000000"/>
              </w:rPr>
            </w:pPr>
          </w:p>
          <w:p w:rsidR="003972C4" w:rsidRDefault="002E0D05">
            <w:pPr>
              <w:rPr>
                <w:rFonts w:ascii="Arial" w:eastAsia="Arial" w:hAnsi="Arial" w:cs="Arial"/>
              </w:rPr>
            </w:pPr>
            <w:r>
              <w:rPr>
                <w:rFonts w:ascii="Arial" w:eastAsia="Arial" w:hAnsi="Arial" w:cs="Arial"/>
              </w:rPr>
              <w:t>90% of responses on the Parent/Carer Survey indicated that:</w:t>
            </w:r>
          </w:p>
          <w:p w:rsidR="003972C4" w:rsidRDefault="002E0D05">
            <w:pPr>
              <w:rPr>
                <w:rFonts w:ascii="Arial" w:eastAsia="Arial" w:hAnsi="Arial" w:cs="Arial"/>
                <w:i/>
              </w:rPr>
            </w:pPr>
            <w:r>
              <w:rPr>
                <w:rFonts w:ascii="Arial" w:eastAsia="Arial" w:hAnsi="Arial" w:cs="Arial"/>
                <w:i/>
              </w:rPr>
              <w:t xml:space="preserve">‘Providing strategies and resources to support your child with </w:t>
            </w:r>
          </w:p>
          <w:p w:rsidR="003972C4" w:rsidRDefault="002E0D05">
            <w:r>
              <w:rPr>
                <w:rFonts w:ascii="Arial" w:eastAsia="Arial" w:hAnsi="Arial" w:cs="Arial"/>
                <w:i/>
              </w:rPr>
              <w:t xml:space="preserve">    </w:t>
            </w:r>
            <w:proofErr w:type="gramStart"/>
            <w:r>
              <w:rPr>
                <w:rFonts w:ascii="Arial" w:eastAsia="Arial" w:hAnsi="Arial" w:cs="Arial"/>
                <w:i/>
              </w:rPr>
              <w:t>their</w:t>
            </w:r>
            <w:proofErr w:type="gramEnd"/>
            <w:r>
              <w:rPr>
                <w:rFonts w:ascii="Arial" w:eastAsia="Arial" w:hAnsi="Arial" w:cs="Arial"/>
                <w:i/>
              </w:rPr>
              <w:t xml:space="preserve"> learning and wellbeing’</w:t>
            </w:r>
            <w:r>
              <w:rPr>
                <w:rFonts w:ascii="Arial" w:eastAsia="Arial" w:hAnsi="Arial" w:cs="Arial"/>
              </w:rPr>
              <w:t xml:space="preserve"> was very helpful.</w:t>
            </w:r>
          </w:p>
          <w:p w:rsidR="003972C4" w:rsidRDefault="003972C4">
            <w:pPr>
              <w:rPr>
                <w:rFonts w:ascii="Arial" w:eastAsia="Arial" w:hAnsi="Arial" w:cs="Arial"/>
              </w:rPr>
            </w:pPr>
          </w:p>
          <w:p w:rsidR="003972C4" w:rsidRDefault="002E0D05">
            <w:pPr>
              <w:rPr>
                <w:rFonts w:ascii="Arial" w:eastAsia="Arial" w:hAnsi="Arial" w:cs="Arial"/>
              </w:rPr>
            </w:pPr>
            <w:r>
              <w:rPr>
                <w:rFonts w:ascii="Arial" w:eastAsia="Arial" w:hAnsi="Arial" w:cs="Arial"/>
              </w:rPr>
              <w:t xml:space="preserve">The School will be rated at the level of excelling (FISO) in </w:t>
            </w:r>
          </w:p>
          <w:p w:rsidR="003972C4" w:rsidRDefault="002E0D05">
            <w:pPr>
              <w:numPr>
                <w:ilvl w:val="0"/>
                <w:numId w:val="4"/>
              </w:numPr>
              <w:pBdr>
                <w:top w:val="nil"/>
                <w:left w:val="nil"/>
                <w:bottom w:val="nil"/>
                <w:right w:val="nil"/>
                <w:between w:val="nil"/>
              </w:pBdr>
              <w:contextualSpacing/>
              <w:rPr>
                <w:color w:val="000000"/>
              </w:rPr>
            </w:pPr>
            <w:r>
              <w:rPr>
                <w:rFonts w:ascii="Arial" w:eastAsia="Arial" w:hAnsi="Arial" w:cs="Arial"/>
                <w:color w:val="000000"/>
              </w:rPr>
              <w:t>Strengthening the social and emotional wellbeing of students</w:t>
            </w:r>
          </w:p>
          <w:p w:rsidR="003972C4" w:rsidRDefault="002E0D05">
            <w:pPr>
              <w:numPr>
                <w:ilvl w:val="0"/>
                <w:numId w:val="4"/>
              </w:numPr>
              <w:pBdr>
                <w:top w:val="nil"/>
                <w:left w:val="nil"/>
                <w:bottom w:val="nil"/>
                <w:right w:val="nil"/>
                <w:between w:val="nil"/>
              </w:pBdr>
              <w:contextualSpacing/>
              <w:rPr>
                <w:color w:val="000000"/>
              </w:rPr>
            </w:pPr>
            <w:r>
              <w:rPr>
                <w:rFonts w:ascii="Arial" w:eastAsia="Arial" w:hAnsi="Arial" w:cs="Arial"/>
                <w:color w:val="000000"/>
              </w:rPr>
              <w:t>Addresses the physical health need of students</w:t>
            </w:r>
          </w:p>
          <w:p w:rsidR="003972C4" w:rsidRDefault="002E0D05">
            <w:pPr>
              <w:numPr>
                <w:ilvl w:val="0"/>
                <w:numId w:val="4"/>
              </w:numPr>
              <w:pBdr>
                <w:top w:val="nil"/>
                <w:left w:val="nil"/>
                <w:bottom w:val="nil"/>
                <w:right w:val="nil"/>
                <w:between w:val="nil"/>
              </w:pBdr>
              <w:contextualSpacing/>
              <w:rPr>
                <w:color w:val="000000"/>
              </w:rPr>
            </w:pPr>
            <w:r>
              <w:rPr>
                <w:rFonts w:ascii="Arial" w:eastAsia="Arial" w:hAnsi="Arial" w:cs="Arial"/>
                <w:color w:val="000000"/>
              </w:rPr>
              <w:t>Addresses the psychological and social wellbeing of students</w:t>
            </w:r>
          </w:p>
          <w:p w:rsidR="003972C4" w:rsidRDefault="002E0D05">
            <w:pPr>
              <w:numPr>
                <w:ilvl w:val="0"/>
                <w:numId w:val="4"/>
              </w:numPr>
              <w:pBdr>
                <w:top w:val="nil"/>
                <w:left w:val="nil"/>
                <w:bottom w:val="nil"/>
                <w:right w:val="nil"/>
                <w:between w:val="nil"/>
              </w:pBdr>
              <w:spacing w:after="200"/>
              <w:contextualSpacing/>
              <w:rPr>
                <w:color w:val="000000"/>
              </w:rPr>
            </w:pPr>
            <w:r>
              <w:rPr>
                <w:rFonts w:ascii="Arial" w:eastAsia="Arial" w:hAnsi="Arial" w:cs="Arial"/>
                <w:color w:val="000000"/>
              </w:rPr>
              <w:t>Supports students to reach their potential</w:t>
            </w:r>
          </w:p>
          <w:p w:rsidR="003972C4" w:rsidRDefault="003972C4">
            <w:pPr>
              <w:rPr>
                <w:rFonts w:ascii="Arial" w:eastAsia="Arial" w:hAnsi="Arial" w:cs="Arial"/>
                <w:highlight w:val="lightGray"/>
              </w:rPr>
            </w:pPr>
          </w:p>
        </w:tc>
      </w:tr>
      <w:tr w:rsidR="003972C4">
        <w:trPr>
          <w:trHeight w:val="3700"/>
        </w:trPr>
        <w:tc>
          <w:tcPr>
            <w:tcW w:w="5246" w:type="dxa"/>
            <w:shd w:val="clear" w:color="auto" w:fill="auto"/>
          </w:tcPr>
          <w:p w:rsidR="003972C4" w:rsidRDefault="002E0D05">
            <w:pPr>
              <w:rPr>
                <w:rFonts w:ascii="Arial" w:eastAsia="Arial" w:hAnsi="Arial" w:cs="Arial"/>
              </w:rPr>
            </w:pPr>
            <w:r>
              <w:rPr>
                <w:rFonts w:ascii="Arial" w:eastAsia="Arial" w:hAnsi="Arial" w:cs="Arial"/>
              </w:rPr>
              <w:t>Improve student health and wellbeing outcomes across the wider community</w:t>
            </w:r>
          </w:p>
        </w:tc>
        <w:tc>
          <w:tcPr>
            <w:tcW w:w="4111" w:type="dxa"/>
            <w:shd w:val="clear" w:color="auto" w:fill="auto"/>
          </w:tcPr>
          <w:p w:rsidR="003972C4" w:rsidRDefault="002E0D05">
            <w:pPr>
              <w:rPr>
                <w:rFonts w:ascii="Arial" w:eastAsia="Arial" w:hAnsi="Arial" w:cs="Arial"/>
                <w:b/>
                <w:color w:val="000000"/>
              </w:rPr>
            </w:pPr>
            <w:r>
              <w:rPr>
                <w:rFonts w:ascii="Arial" w:eastAsia="Arial" w:hAnsi="Arial" w:cs="Arial"/>
                <w:b/>
                <w:color w:val="000000"/>
              </w:rPr>
              <w:t>Community engagement in learning</w:t>
            </w:r>
          </w:p>
          <w:p w:rsidR="003972C4" w:rsidRDefault="002E0D05">
            <w:pPr>
              <w:rPr>
                <w:rFonts w:ascii="Arial" w:eastAsia="Arial" w:hAnsi="Arial" w:cs="Arial"/>
                <w:b/>
              </w:rPr>
            </w:pPr>
            <w:r>
              <w:rPr>
                <w:rFonts w:ascii="Arial" w:eastAsia="Arial" w:hAnsi="Arial" w:cs="Arial"/>
                <w:b/>
                <w:i/>
                <w:color w:val="000000"/>
              </w:rPr>
              <w:t>Building Communities</w:t>
            </w:r>
          </w:p>
        </w:tc>
        <w:tc>
          <w:tcPr>
            <w:tcW w:w="6615" w:type="dxa"/>
            <w:shd w:val="clear" w:color="auto" w:fill="auto"/>
          </w:tcPr>
          <w:p w:rsidR="003972C4" w:rsidRDefault="003972C4">
            <w:pPr>
              <w:pBdr>
                <w:top w:val="nil"/>
                <w:left w:val="nil"/>
                <w:bottom w:val="nil"/>
                <w:right w:val="nil"/>
                <w:between w:val="nil"/>
              </w:pBdr>
              <w:tabs>
                <w:tab w:val="left" w:pos="205"/>
              </w:tabs>
              <w:rPr>
                <w:rFonts w:ascii="Arial" w:eastAsia="Arial" w:hAnsi="Arial" w:cs="Arial"/>
                <w:color w:val="000000"/>
                <w:sz w:val="20"/>
                <w:szCs w:val="20"/>
              </w:rPr>
            </w:pPr>
          </w:p>
          <w:p w:rsidR="003972C4" w:rsidRDefault="002E0D05">
            <w:pPr>
              <w:numPr>
                <w:ilvl w:val="0"/>
                <w:numId w:val="8"/>
              </w:numPr>
              <w:pBdr>
                <w:top w:val="nil"/>
                <w:left w:val="nil"/>
                <w:bottom w:val="nil"/>
                <w:right w:val="nil"/>
                <w:between w:val="nil"/>
              </w:pBdr>
              <w:tabs>
                <w:tab w:val="left" w:pos="205"/>
              </w:tabs>
              <w:rPr>
                <w:color w:val="000000"/>
              </w:rPr>
            </w:pPr>
            <w:r>
              <w:rPr>
                <w:rFonts w:ascii="Arial" w:eastAsia="Arial" w:hAnsi="Arial" w:cs="Arial"/>
                <w:color w:val="000000"/>
              </w:rPr>
              <w:t>Building capacity across the wider community to improve student health and wellbeing by supporting and promoting best practice</w:t>
            </w:r>
          </w:p>
          <w:p w:rsidR="003972C4" w:rsidRDefault="003972C4">
            <w:pPr>
              <w:pBdr>
                <w:top w:val="nil"/>
                <w:left w:val="nil"/>
                <w:bottom w:val="nil"/>
                <w:right w:val="nil"/>
                <w:between w:val="nil"/>
              </w:pBdr>
              <w:tabs>
                <w:tab w:val="left" w:pos="205"/>
              </w:tabs>
              <w:rPr>
                <w:rFonts w:ascii="Arial" w:eastAsia="Arial" w:hAnsi="Arial" w:cs="Arial"/>
                <w:color w:val="000000"/>
              </w:rPr>
            </w:pPr>
          </w:p>
        </w:tc>
        <w:tc>
          <w:tcPr>
            <w:tcW w:w="6615" w:type="dxa"/>
            <w:shd w:val="clear" w:color="auto" w:fill="auto"/>
          </w:tcPr>
          <w:p w:rsidR="003972C4" w:rsidRDefault="003972C4">
            <w:pPr>
              <w:pBdr>
                <w:top w:val="nil"/>
                <w:left w:val="nil"/>
                <w:bottom w:val="nil"/>
                <w:right w:val="nil"/>
                <w:between w:val="nil"/>
              </w:pBdr>
              <w:rPr>
                <w:rFonts w:ascii="Arial" w:eastAsia="Arial" w:hAnsi="Arial" w:cs="Arial"/>
                <w:color w:val="000000"/>
              </w:rPr>
            </w:pPr>
          </w:p>
          <w:p w:rsidR="003972C4" w:rsidRDefault="002E0D05">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School will be rated at the level of excelling (FISO) in </w:t>
            </w:r>
          </w:p>
          <w:p w:rsidR="003972C4" w:rsidRDefault="002E0D05">
            <w:pPr>
              <w:numPr>
                <w:ilvl w:val="0"/>
                <w:numId w:val="6"/>
              </w:numPr>
              <w:pBdr>
                <w:top w:val="nil"/>
                <w:left w:val="nil"/>
                <w:bottom w:val="nil"/>
                <w:right w:val="nil"/>
                <w:between w:val="nil"/>
              </w:pBdr>
              <w:rPr>
                <w:color w:val="000000"/>
              </w:rPr>
            </w:pPr>
            <w:r>
              <w:rPr>
                <w:rFonts w:ascii="Arial" w:eastAsia="Arial" w:hAnsi="Arial" w:cs="Arial"/>
                <w:color w:val="000000"/>
              </w:rPr>
              <w:t xml:space="preserve">Building community partnerships </w:t>
            </w:r>
          </w:p>
          <w:p w:rsidR="003972C4" w:rsidRDefault="002E0D05">
            <w:pPr>
              <w:numPr>
                <w:ilvl w:val="0"/>
                <w:numId w:val="6"/>
              </w:numPr>
              <w:pBdr>
                <w:top w:val="nil"/>
                <w:left w:val="nil"/>
                <w:bottom w:val="nil"/>
                <w:right w:val="nil"/>
                <w:between w:val="nil"/>
              </w:pBdr>
              <w:rPr>
                <w:color w:val="000000"/>
              </w:rPr>
            </w:pPr>
            <w:r>
              <w:rPr>
                <w:rFonts w:ascii="Arial" w:eastAsia="Arial" w:hAnsi="Arial" w:cs="Arial"/>
                <w:color w:val="000000"/>
              </w:rPr>
              <w:t xml:space="preserve">Partnerships to support student health, wellbeing and achievement </w:t>
            </w:r>
          </w:p>
          <w:p w:rsidR="003972C4" w:rsidRDefault="002E0D05">
            <w:pPr>
              <w:numPr>
                <w:ilvl w:val="0"/>
                <w:numId w:val="6"/>
              </w:numPr>
              <w:pBdr>
                <w:top w:val="nil"/>
                <w:left w:val="nil"/>
                <w:bottom w:val="nil"/>
                <w:right w:val="nil"/>
                <w:between w:val="nil"/>
              </w:pBdr>
              <w:rPr>
                <w:color w:val="000000"/>
              </w:rPr>
            </w:pPr>
            <w:r>
              <w:rPr>
                <w:rFonts w:ascii="Arial" w:eastAsia="Arial" w:hAnsi="Arial" w:cs="Arial"/>
                <w:color w:val="000000"/>
              </w:rPr>
              <w:t xml:space="preserve">Parent, carer and family engagement </w:t>
            </w:r>
          </w:p>
          <w:p w:rsidR="003972C4" w:rsidRDefault="003972C4">
            <w:pPr>
              <w:pBdr>
                <w:top w:val="nil"/>
                <w:left w:val="nil"/>
                <w:bottom w:val="nil"/>
                <w:right w:val="nil"/>
                <w:between w:val="nil"/>
              </w:pBdr>
              <w:rPr>
                <w:rFonts w:ascii="Arial" w:eastAsia="Arial" w:hAnsi="Arial" w:cs="Arial"/>
                <w:color w:val="000000"/>
              </w:rPr>
            </w:pPr>
          </w:p>
          <w:p w:rsidR="003972C4" w:rsidRDefault="002E0D05">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Evaluation of community capacity building programs indicate 85% of respondents have increased their capacity to respond to the needs of children and young people </w:t>
            </w:r>
            <w:r>
              <w:rPr>
                <w:rFonts w:ascii="Arial" w:eastAsia="Arial" w:hAnsi="Arial" w:cs="Arial"/>
                <w:i/>
                <w:color w:val="000000"/>
              </w:rPr>
              <w:t>highly</w:t>
            </w:r>
            <w:r>
              <w:rPr>
                <w:rFonts w:ascii="Arial" w:eastAsia="Arial" w:hAnsi="Arial" w:cs="Arial"/>
                <w:color w:val="000000"/>
              </w:rPr>
              <w:t xml:space="preserve"> or </w:t>
            </w:r>
            <w:r>
              <w:rPr>
                <w:rFonts w:ascii="Arial" w:eastAsia="Arial" w:hAnsi="Arial" w:cs="Arial"/>
                <w:i/>
                <w:color w:val="000000"/>
              </w:rPr>
              <w:t>extremely</w:t>
            </w:r>
          </w:p>
          <w:p w:rsidR="003972C4" w:rsidRDefault="003972C4">
            <w:pPr>
              <w:pBdr>
                <w:top w:val="nil"/>
                <w:left w:val="nil"/>
                <w:bottom w:val="nil"/>
                <w:right w:val="nil"/>
                <w:between w:val="nil"/>
              </w:pBdr>
              <w:rPr>
                <w:rFonts w:ascii="Arial" w:eastAsia="Arial" w:hAnsi="Arial" w:cs="Arial"/>
                <w:color w:val="000000"/>
              </w:rPr>
            </w:pPr>
          </w:p>
          <w:p w:rsidR="003972C4" w:rsidRDefault="002E0D05">
            <w:pPr>
              <w:pBdr>
                <w:top w:val="nil"/>
                <w:left w:val="nil"/>
                <w:bottom w:val="nil"/>
                <w:right w:val="nil"/>
                <w:between w:val="nil"/>
              </w:pBdr>
              <w:tabs>
                <w:tab w:val="left" w:pos="205"/>
              </w:tabs>
              <w:rPr>
                <w:rFonts w:ascii="Arial" w:eastAsia="Arial" w:hAnsi="Arial" w:cs="Arial"/>
                <w:i/>
                <w:color w:val="000000"/>
              </w:rPr>
            </w:pPr>
            <w:r>
              <w:rPr>
                <w:rFonts w:ascii="Arial" w:eastAsia="Arial" w:hAnsi="Arial" w:cs="Arial"/>
                <w:color w:val="000000"/>
              </w:rPr>
              <w:t xml:space="preserve">Feedback from 90% of respondents on the Partner Schools Survey indicate </w:t>
            </w:r>
            <w:r>
              <w:rPr>
                <w:rFonts w:ascii="Arial" w:eastAsia="Arial" w:hAnsi="Arial" w:cs="Arial"/>
                <w:i/>
                <w:color w:val="000000"/>
              </w:rPr>
              <w:t xml:space="preserve">that: </w:t>
            </w:r>
          </w:p>
          <w:p w:rsidR="003972C4" w:rsidRDefault="002E0D05">
            <w:pPr>
              <w:pBdr>
                <w:top w:val="nil"/>
                <w:left w:val="nil"/>
                <w:bottom w:val="nil"/>
                <w:right w:val="nil"/>
                <w:between w:val="nil"/>
              </w:pBdr>
              <w:tabs>
                <w:tab w:val="left" w:pos="205"/>
              </w:tabs>
              <w:rPr>
                <w:rFonts w:ascii="Arial" w:eastAsia="Arial" w:hAnsi="Arial" w:cs="Arial"/>
                <w:i/>
                <w:color w:val="000000"/>
              </w:rPr>
            </w:pPr>
            <w:r>
              <w:rPr>
                <w:rFonts w:ascii="Arial" w:eastAsia="Arial" w:hAnsi="Arial" w:cs="Arial"/>
                <w:i/>
                <w:color w:val="000000"/>
              </w:rPr>
              <w:t xml:space="preserve">Travancore School impacted positively on your capacity to </w:t>
            </w:r>
          </w:p>
          <w:p w:rsidR="003972C4" w:rsidRDefault="002E0D05">
            <w:pPr>
              <w:pBdr>
                <w:top w:val="nil"/>
                <w:left w:val="nil"/>
                <w:bottom w:val="nil"/>
                <w:right w:val="nil"/>
                <w:between w:val="nil"/>
              </w:pBdr>
              <w:tabs>
                <w:tab w:val="left" w:pos="205"/>
              </w:tabs>
              <w:rPr>
                <w:rFonts w:ascii="Arial" w:eastAsia="Arial" w:hAnsi="Arial" w:cs="Arial"/>
                <w:i/>
                <w:color w:val="000000"/>
              </w:rPr>
            </w:pPr>
            <w:r>
              <w:rPr>
                <w:rFonts w:ascii="Arial" w:eastAsia="Arial" w:hAnsi="Arial" w:cs="Arial"/>
                <w:i/>
                <w:color w:val="000000"/>
              </w:rPr>
              <w:t xml:space="preserve">    </w:t>
            </w:r>
            <w:proofErr w:type="gramStart"/>
            <w:r>
              <w:rPr>
                <w:rFonts w:ascii="Arial" w:eastAsia="Arial" w:hAnsi="Arial" w:cs="Arial"/>
                <w:i/>
                <w:color w:val="000000"/>
              </w:rPr>
              <w:t>support</w:t>
            </w:r>
            <w:proofErr w:type="gramEnd"/>
            <w:r>
              <w:rPr>
                <w:rFonts w:ascii="Arial" w:eastAsia="Arial" w:hAnsi="Arial" w:cs="Arial"/>
                <w:i/>
                <w:color w:val="000000"/>
              </w:rPr>
              <w:t xml:space="preserve"> your student?</w:t>
            </w:r>
          </w:p>
          <w:p w:rsidR="003972C4" w:rsidRDefault="003972C4"/>
          <w:p w:rsidR="003972C4" w:rsidRDefault="002E0D05">
            <w:pPr>
              <w:rPr>
                <w:rFonts w:ascii="Arial" w:eastAsia="Arial" w:hAnsi="Arial" w:cs="Arial"/>
              </w:rPr>
            </w:pPr>
            <w:r>
              <w:rPr>
                <w:rFonts w:ascii="Arial" w:eastAsia="Arial" w:hAnsi="Arial" w:cs="Arial"/>
              </w:rPr>
              <w:t>Feedback from 80% of respondents on the Partner Schools Survey indicate strongly agree that:</w:t>
            </w:r>
          </w:p>
          <w:p w:rsidR="003972C4" w:rsidRDefault="002E0D05">
            <w:pPr>
              <w:rPr>
                <w:rFonts w:ascii="Arial" w:eastAsia="Arial" w:hAnsi="Arial" w:cs="Arial"/>
                <w:i/>
              </w:rPr>
            </w:pPr>
            <w:r>
              <w:rPr>
                <w:rFonts w:ascii="Arial" w:eastAsia="Arial" w:hAnsi="Arial" w:cs="Arial"/>
                <w:i/>
              </w:rPr>
              <w:t>‘A positive working relationship was developed between your</w:t>
            </w:r>
          </w:p>
          <w:p w:rsidR="003972C4" w:rsidRDefault="002E0D05">
            <w:pPr>
              <w:rPr>
                <w:rFonts w:ascii="LiberationSans" w:eastAsia="LiberationSans" w:hAnsi="LiberationSans" w:cs="LiberationSans"/>
                <w:sz w:val="17"/>
                <w:szCs w:val="17"/>
              </w:rPr>
            </w:pPr>
            <w:r>
              <w:rPr>
                <w:rFonts w:ascii="Arial" w:eastAsia="Arial" w:hAnsi="Arial" w:cs="Arial"/>
                <w:i/>
              </w:rPr>
              <w:t xml:space="preserve">    </w:t>
            </w:r>
            <w:proofErr w:type="gramStart"/>
            <w:r>
              <w:rPr>
                <w:rFonts w:ascii="Arial" w:eastAsia="Arial" w:hAnsi="Arial" w:cs="Arial"/>
                <w:i/>
              </w:rPr>
              <w:t>setting</w:t>
            </w:r>
            <w:proofErr w:type="gramEnd"/>
            <w:r>
              <w:rPr>
                <w:rFonts w:ascii="Arial" w:eastAsia="Arial" w:hAnsi="Arial" w:cs="Arial"/>
                <w:i/>
              </w:rPr>
              <w:t xml:space="preserve"> and Travancore School’</w:t>
            </w:r>
            <w:r>
              <w:rPr>
                <w:rFonts w:ascii="LiberationSans" w:eastAsia="LiberationSans" w:hAnsi="LiberationSans" w:cs="LiberationSans"/>
                <w:sz w:val="17"/>
                <w:szCs w:val="17"/>
              </w:rPr>
              <w:t>.</w:t>
            </w:r>
          </w:p>
          <w:p w:rsidR="003972C4" w:rsidRDefault="003972C4">
            <w:pPr>
              <w:rPr>
                <w:rFonts w:ascii="LiberationSans" w:eastAsia="LiberationSans" w:hAnsi="LiberationSans" w:cs="LiberationSans"/>
                <w:sz w:val="17"/>
                <w:szCs w:val="17"/>
              </w:rPr>
            </w:pPr>
          </w:p>
          <w:p w:rsidR="003972C4" w:rsidRDefault="002E0D05">
            <w:pPr>
              <w:rPr>
                <w:rFonts w:ascii="Arial" w:eastAsia="Arial" w:hAnsi="Arial" w:cs="Arial"/>
                <w:i/>
              </w:rPr>
            </w:pPr>
            <w:r>
              <w:rPr>
                <w:rFonts w:ascii="Arial" w:eastAsia="Arial" w:hAnsi="Arial" w:cs="Arial"/>
              </w:rPr>
              <w:t xml:space="preserve">Feedback from 90% of respondents on the Mental health Partner Survey indicate </w:t>
            </w:r>
            <w:r>
              <w:rPr>
                <w:rFonts w:ascii="Arial" w:eastAsia="Arial" w:hAnsi="Arial" w:cs="Arial"/>
                <w:i/>
              </w:rPr>
              <w:t>that:</w:t>
            </w:r>
          </w:p>
          <w:p w:rsidR="003972C4" w:rsidRDefault="002E0D05">
            <w:pPr>
              <w:rPr>
                <w:rFonts w:ascii="Arial" w:eastAsia="Arial" w:hAnsi="Arial" w:cs="Arial"/>
                <w:i/>
              </w:rPr>
            </w:pPr>
            <w:r>
              <w:rPr>
                <w:rFonts w:ascii="Arial" w:eastAsia="Arial" w:hAnsi="Arial" w:cs="Arial"/>
                <w:i/>
              </w:rPr>
              <w:t>‘Travancore school have successfully supported the education</w:t>
            </w:r>
          </w:p>
          <w:p w:rsidR="003972C4" w:rsidRDefault="002E0D05">
            <w:pPr>
              <w:rPr>
                <w:rFonts w:ascii="Arial" w:eastAsia="Arial" w:hAnsi="Arial" w:cs="Arial"/>
                <w:i/>
              </w:rPr>
            </w:pPr>
            <w:r>
              <w:rPr>
                <w:rFonts w:ascii="Arial" w:eastAsia="Arial" w:hAnsi="Arial" w:cs="Arial"/>
                <w:i/>
              </w:rPr>
              <w:t xml:space="preserve">     based needs of the young person in my clinical care’ </w:t>
            </w:r>
          </w:p>
          <w:p w:rsidR="003972C4" w:rsidRDefault="003972C4">
            <w:pPr>
              <w:rPr>
                <w:rFonts w:ascii="Arial" w:eastAsia="Arial" w:hAnsi="Arial" w:cs="Arial"/>
                <w:i/>
              </w:rPr>
            </w:pPr>
          </w:p>
          <w:p w:rsidR="003972C4" w:rsidRDefault="002E0D05">
            <w:pPr>
              <w:rPr>
                <w:rFonts w:ascii="Arial" w:eastAsia="Arial" w:hAnsi="Arial" w:cs="Arial"/>
                <w:i/>
              </w:rPr>
            </w:pPr>
            <w:r>
              <w:rPr>
                <w:rFonts w:ascii="Arial" w:eastAsia="Arial" w:hAnsi="Arial" w:cs="Arial"/>
                <w:i/>
              </w:rPr>
              <w:t>‘I am satisfied with the communication I received from Travancore</w:t>
            </w:r>
          </w:p>
          <w:p w:rsidR="003972C4" w:rsidRDefault="002E0D05">
            <w:r>
              <w:rPr>
                <w:rFonts w:ascii="Arial" w:eastAsia="Arial" w:hAnsi="Arial" w:cs="Arial"/>
                <w:i/>
              </w:rPr>
              <w:t xml:space="preserve">     school about the young person in my clinical care’</w:t>
            </w:r>
          </w:p>
        </w:tc>
      </w:tr>
    </w:tbl>
    <w:p w:rsidR="003972C4" w:rsidRDefault="003972C4">
      <w:pPr>
        <w:tabs>
          <w:tab w:val="left" w:pos="1875"/>
        </w:tabs>
        <w:rPr>
          <w:rFonts w:ascii="Arial" w:eastAsia="Arial" w:hAnsi="Arial" w:cs="Arial"/>
        </w:rPr>
      </w:pPr>
    </w:p>
    <w:sectPr w:rsidR="003972C4">
      <w:headerReference w:type="default" r:id="rId7"/>
      <w:footerReference w:type="default" r:id="rId8"/>
      <w:pgSz w:w="23814" w:h="16839"/>
      <w:pgMar w:top="993"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6F5" w:rsidRDefault="009D56F5">
      <w:r>
        <w:separator/>
      </w:r>
    </w:p>
  </w:endnote>
  <w:endnote w:type="continuationSeparator" w:id="0">
    <w:p w:rsidR="009D56F5" w:rsidRDefault="009D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iberation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2C4" w:rsidRDefault="002E0D05">
    <w:pPr>
      <w:pBdr>
        <w:top w:val="nil"/>
        <w:left w:val="nil"/>
        <w:bottom w:val="nil"/>
        <w:right w:val="nil"/>
        <w:between w:val="nil"/>
      </w:pBdr>
      <w:tabs>
        <w:tab w:val="right" w:pos="12616"/>
      </w:tabs>
      <w:rPr>
        <w:color w:val="000000"/>
      </w:rPr>
    </w:pPr>
    <w:r>
      <w:rPr>
        <w:color w:val="000000"/>
      </w:rPr>
      <w:tab/>
    </w:r>
    <w:r>
      <w:rPr>
        <w:color w:val="000000"/>
      </w:rPr>
      <w:tab/>
      <w:t>Published: February 2016</w:t>
    </w:r>
    <w:r>
      <w:rPr>
        <w:noProof/>
      </w:rPr>
      <w:drawing>
        <wp:anchor distT="0" distB="0" distL="0" distR="0" simplePos="0" relativeHeight="251658240" behindDoc="0" locked="0" layoutInCell="1" hidden="0" allowOverlap="1">
          <wp:simplePos x="0" y="0"/>
          <wp:positionH relativeFrom="column">
            <wp:posOffset>-450214</wp:posOffset>
          </wp:positionH>
          <wp:positionV relativeFrom="paragraph">
            <wp:posOffset>-659129</wp:posOffset>
          </wp:positionV>
          <wp:extent cx="996950" cy="995680"/>
          <wp:effectExtent l="0" t="0" r="0" b="0"/>
          <wp:wrapSquare wrapText="bothSides" distT="0" distB="0" distL="0" distR="0"/>
          <wp:docPr id="3" name="image2.jpg" descr="D:\Users\09026298\Desktop\model2.jpg"/>
          <wp:cNvGraphicFramePr/>
          <a:graphic xmlns:a="http://schemas.openxmlformats.org/drawingml/2006/main">
            <a:graphicData uri="http://schemas.openxmlformats.org/drawingml/2006/picture">
              <pic:pic xmlns:pic="http://schemas.openxmlformats.org/drawingml/2006/picture">
                <pic:nvPicPr>
                  <pic:cNvPr id="0" name="image2.jpg" descr="D:\Users\09026298\Desktop\model2.jpg"/>
                  <pic:cNvPicPr preferRelativeResize="0"/>
                </pic:nvPicPr>
                <pic:blipFill>
                  <a:blip r:embed="rId1"/>
                  <a:srcRect/>
                  <a:stretch>
                    <a:fillRect/>
                  </a:stretch>
                </pic:blipFill>
                <pic:spPr>
                  <a:xfrm>
                    <a:off x="0" y="0"/>
                    <a:ext cx="996950" cy="995680"/>
                  </a:xfrm>
                  <a:prstGeom prst="rect">
                    <a:avLst/>
                  </a:prstGeom>
                  <a:ln/>
                </pic:spPr>
              </pic:pic>
            </a:graphicData>
          </a:graphic>
        </wp:anchor>
      </w:drawing>
    </w:r>
    <w:r>
      <w:rPr>
        <w:noProof/>
      </w:rPr>
      <mc:AlternateContent>
        <mc:Choice Requires="wps">
          <w:drawing>
            <wp:anchor distT="0" distB="0" distL="0" distR="0" simplePos="0" relativeHeight="251659264" behindDoc="0" locked="0" layoutInCell="1" hidden="0" allowOverlap="1">
              <wp:simplePos x="0" y="0"/>
              <wp:positionH relativeFrom="column">
                <wp:posOffset>609600</wp:posOffset>
              </wp:positionH>
              <wp:positionV relativeFrom="paragraph">
                <wp:posOffset>0</wp:posOffset>
              </wp:positionV>
              <wp:extent cx="3203575" cy="33845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3748975" y="3615535"/>
                        <a:ext cx="3194050" cy="328930"/>
                      </a:xfrm>
                      <a:prstGeom prst="rect">
                        <a:avLst/>
                      </a:prstGeom>
                      <a:solidFill>
                        <a:srgbClr val="FFFFFF"/>
                      </a:solidFill>
                      <a:ln>
                        <a:noFill/>
                      </a:ln>
                    </wps:spPr>
                    <wps:txbx>
                      <w:txbxContent>
                        <w:p w:rsidR="003972C4" w:rsidRDefault="002E0D05">
                          <w:pPr>
                            <w:textDirection w:val="btLr"/>
                          </w:pPr>
                          <w:r>
                            <w:rPr>
                              <w:color w:val="9BBB59"/>
                              <w:sz w:val="24"/>
                            </w:rPr>
                            <w:t>Framework for Improving Student Outcomes</w:t>
                          </w:r>
                        </w:p>
                      </w:txbxContent>
                    </wps:txbx>
                    <wps:bodyPr spcFirstLastPara="1" wrap="square" lIns="91425" tIns="45700" rIns="91425" bIns="45700" anchor="t" anchorCtr="0"/>
                  </wps:wsp>
                </a:graphicData>
              </a:graphic>
            </wp:anchor>
          </w:drawing>
        </mc:Choice>
        <mc:Fallback>
          <w:pict>
            <v:rect id="Rectangle 1" o:spid="_x0000_s1026" style="position:absolute;margin-left:48pt;margin-top:0;width:252.25pt;height:26.6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" stroked="f">
              <v:textbox inset="2.53958mm,1.2694mm,2.53958mm,1.2694mm">
                <w:txbxContent>
                  <w:p w:rsidR="003972C4" w:rsidRDefault="002E0D05">
                    <w:pPr>
                      <w:textDirection w:val="btLr"/>
                    </w:pPr>
                    <w:r>
                      <w:rPr>
                        <w:color w:val="9BBB59"/>
                        <w:sz w:val="24"/>
                      </w:rPr>
                      <w:t>Framework for Improving Student Outcomes</w:t>
                    </w:r>
                  </w:p>
                </w:txbxContent>
              </v:textbox>
              <w10:wrap type="square"/>
            </v:rect>
          </w:pict>
        </mc:Fallback>
      </mc:AlternateContent>
    </w:r>
    <w:r>
      <w:rPr>
        <w:noProof/>
      </w:rPr>
      <w:drawing>
        <wp:anchor distT="0" distB="0" distL="114300" distR="114300" simplePos="0" relativeHeight="251660288" behindDoc="0" locked="0" layoutInCell="1" hidden="0" allowOverlap="1">
          <wp:simplePos x="0" y="0"/>
          <wp:positionH relativeFrom="column">
            <wp:posOffset>12551410</wp:posOffset>
          </wp:positionH>
          <wp:positionV relativeFrom="paragraph">
            <wp:posOffset>-304799</wp:posOffset>
          </wp:positionV>
          <wp:extent cx="1314450" cy="734695"/>
          <wp:effectExtent l="0" t="0" r="0" b="0"/>
          <wp:wrapSquare wrapText="bothSides" distT="0" distB="0" distL="114300" distR="114300"/>
          <wp:docPr id="2" name="image1.jpg" descr="C:\Users\08723594\AppData\Local\Microsoft\Windows\Temporary Internet Files\Content.Outlook\IAL3SQCQ\stagegov footer.JPG"/>
          <wp:cNvGraphicFramePr/>
          <a:graphic xmlns:a="http://schemas.openxmlformats.org/drawingml/2006/main">
            <a:graphicData uri="http://schemas.openxmlformats.org/drawingml/2006/picture">
              <pic:pic xmlns:pic="http://schemas.openxmlformats.org/drawingml/2006/picture">
                <pic:nvPicPr>
                  <pic:cNvPr id="0" name="image1.jpg" descr="C:\Users\08723594\AppData\Local\Microsoft\Windows\Temporary Internet Files\Content.Outlook\IAL3SQCQ\stagegov footer.JPG"/>
                  <pic:cNvPicPr preferRelativeResize="0"/>
                </pic:nvPicPr>
                <pic:blipFill>
                  <a:blip r:embed="rId2"/>
                  <a:srcRect/>
                  <a:stretch>
                    <a:fillRect/>
                  </a:stretch>
                </pic:blipFill>
                <pic:spPr>
                  <a:xfrm>
                    <a:off x="0" y="0"/>
                    <a:ext cx="1314450" cy="73469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6F5" w:rsidRDefault="009D56F5">
      <w:r>
        <w:separator/>
      </w:r>
    </w:p>
  </w:footnote>
  <w:footnote w:type="continuationSeparator" w:id="0">
    <w:p w:rsidR="009D56F5" w:rsidRDefault="009D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2C4" w:rsidRDefault="003972C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488"/>
    <w:multiLevelType w:val="multilevel"/>
    <w:tmpl w:val="1EA4B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DF4DB9"/>
    <w:multiLevelType w:val="multilevel"/>
    <w:tmpl w:val="ED661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C02EAF"/>
    <w:multiLevelType w:val="multilevel"/>
    <w:tmpl w:val="4F6A0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8E2B27"/>
    <w:multiLevelType w:val="multilevel"/>
    <w:tmpl w:val="5D4A7532"/>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4" w15:restartNumberingAfterBreak="0">
    <w:nsid w:val="33AF74C7"/>
    <w:multiLevelType w:val="multilevel"/>
    <w:tmpl w:val="A30C6C9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FA3C50"/>
    <w:multiLevelType w:val="multilevel"/>
    <w:tmpl w:val="23A82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2E0982"/>
    <w:multiLevelType w:val="multilevel"/>
    <w:tmpl w:val="EBB8B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2D30F8"/>
    <w:multiLevelType w:val="multilevel"/>
    <w:tmpl w:val="8F288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2"/>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C4"/>
    <w:rsid w:val="002E0D05"/>
    <w:rsid w:val="003972C4"/>
    <w:rsid w:val="00406211"/>
    <w:rsid w:val="0087439D"/>
    <w:rsid w:val="009D56F5"/>
    <w:rsid w:val="00A20A61"/>
    <w:rsid w:val="00B51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F667"/>
  <w15:docId w15:val="{576C1136-5455-4D52-9B7E-C46E98B8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 Judy L</dc:creator>
  <cp:lastModifiedBy>Ring, Judy L</cp:lastModifiedBy>
  <cp:revision>4</cp:revision>
  <cp:lastPrinted>2020-02-18T22:29:00Z</cp:lastPrinted>
  <dcterms:created xsi:type="dcterms:W3CDTF">2018-12-09T22:06:00Z</dcterms:created>
  <dcterms:modified xsi:type="dcterms:W3CDTF">2020-02-18T22:29:00Z</dcterms:modified>
</cp:coreProperties>
</file>